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747A6B3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9A2903">
        <w:rPr>
          <w:rFonts w:ascii="Times New Roman" w:hAnsi="Times New Roman" w:cs="Times New Roman"/>
        </w:rPr>
        <w:t>Рязань</w:t>
      </w:r>
      <w:bookmarkStart w:id="0" w:name="_GoBack"/>
      <w:bookmarkEnd w:id="0"/>
      <w:r w:rsidR="00972D1A" w:rsidRPr="008121D2">
        <w:rPr>
          <w:rFonts w:ascii="Times New Roman" w:hAnsi="Times New Roman" w:cs="Times New Roman"/>
        </w:rPr>
        <w:t xml:space="preserve">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лице  Генерального директора Немова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14:paraId="05624314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664050,г. Иркутск, ул. Байкальская, д.295/13,№4</w:t>
            </w:r>
          </w:p>
          <w:p w14:paraId="25B3F76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14:paraId="04264F62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______________________ В.Н.Немов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A2903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722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Щедринова</cp:lastModifiedBy>
  <cp:revision>3</cp:revision>
  <cp:lastPrinted>2020-08-13T10:34:00Z</cp:lastPrinted>
  <dcterms:created xsi:type="dcterms:W3CDTF">2021-07-29T09:50:00Z</dcterms:created>
  <dcterms:modified xsi:type="dcterms:W3CDTF">2021-09-09T11:44:00Z</dcterms:modified>
</cp:coreProperties>
</file>