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758" w:rsidRDefault="00481758" w:rsidP="007A545E">
      <w:pPr>
        <w:pStyle w:val="Default"/>
        <w:rPr>
          <w:sz w:val="28"/>
          <w:szCs w:val="28"/>
        </w:rPr>
      </w:pPr>
    </w:p>
    <w:p w:rsidR="00481758" w:rsidRPr="00733382" w:rsidRDefault="00481758" w:rsidP="00733382">
      <w:pPr>
        <w:pStyle w:val="Default"/>
        <w:jc w:val="center"/>
        <w:rPr>
          <w:b/>
          <w:sz w:val="28"/>
          <w:szCs w:val="28"/>
        </w:rPr>
      </w:pPr>
    </w:p>
    <w:p w:rsidR="00481758" w:rsidRPr="00364F12" w:rsidRDefault="00481758" w:rsidP="00733382">
      <w:pPr>
        <w:jc w:val="center"/>
        <w:rPr>
          <w:rFonts w:ascii="Times New Roman" w:hAnsi="Times New Roman"/>
          <w:b/>
          <w:sz w:val="16"/>
          <w:szCs w:val="16"/>
        </w:rPr>
      </w:pPr>
      <w:r w:rsidRPr="00364F12">
        <w:rPr>
          <w:rFonts w:ascii="Times New Roman" w:hAnsi="Times New Roman"/>
          <w:b/>
          <w:sz w:val="16"/>
          <w:szCs w:val="16"/>
        </w:rPr>
        <w:t xml:space="preserve">Положение о порядке, об условиях и о сроках реализации </w:t>
      </w:r>
    </w:p>
    <w:p w:rsidR="00481758" w:rsidRPr="00364F12" w:rsidRDefault="00481758" w:rsidP="006B51A6">
      <w:pPr>
        <w:jc w:val="center"/>
        <w:rPr>
          <w:rFonts w:ascii="Times New Roman" w:hAnsi="Times New Roman"/>
          <w:b/>
          <w:sz w:val="16"/>
          <w:szCs w:val="16"/>
        </w:rPr>
      </w:pPr>
      <w:r w:rsidRPr="00364F12">
        <w:rPr>
          <w:rFonts w:ascii="Times New Roman" w:hAnsi="Times New Roman"/>
          <w:b/>
          <w:sz w:val="16"/>
          <w:szCs w:val="16"/>
        </w:rPr>
        <w:t>имущества Романова Сергея Юрьевича (06.04.1974 дата рождения; место рождения: г. Ленинград; адрес регистрации: Вологодская обл., г. Череповец, пр-кт Луначарского, д. 10, кв. 101, ИНН 352819053143, СНИЛС 065-974-601 05)</w:t>
      </w:r>
    </w:p>
    <w:p w:rsidR="00481758" w:rsidRPr="00364F12" w:rsidRDefault="00481758" w:rsidP="006B51A6">
      <w:pPr>
        <w:adjustRightInd w:val="0"/>
        <w:ind w:firstLine="567"/>
        <w:jc w:val="center"/>
        <w:rPr>
          <w:rFonts w:ascii="Times New Roman" w:hAnsi="Times New Roman"/>
          <w:sz w:val="16"/>
          <w:szCs w:val="16"/>
        </w:rPr>
      </w:pPr>
      <w:r w:rsidRPr="00364F12">
        <w:rPr>
          <w:rFonts w:ascii="Times New Roman" w:hAnsi="Times New Roman"/>
          <w:sz w:val="16"/>
          <w:szCs w:val="16"/>
        </w:rPr>
        <w:t xml:space="preserve">1. Общие положения </w:t>
      </w:r>
    </w:p>
    <w:p w:rsidR="00481758" w:rsidRPr="00364F12" w:rsidRDefault="00481758" w:rsidP="006B51A6">
      <w:pPr>
        <w:jc w:val="both"/>
        <w:rPr>
          <w:rFonts w:ascii="Times New Roman" w:hAnsi="Times New Roman"/>
          <w:sz w:val="16"/>
          <w:szCs w:val="16"/>
        </w:rPr>
      </w:pPr>
      <w:r w:rsidRPr="00364F12">
        <w:rPr>
          <w:rFonts w:ascii="Times New Roman" w:hAnsi="Times New Roman"/>
          <w:sz w:val="16"/>
          <w:szCs w:val="16"/>
        </w:rPr>
        <w:t>1.1. Решением Арбитражного суда Вологодской области от 10.04.2018  года по делу №А13-20581/2017 в отношении Романова Сергея Юрьевича (06.04.1974 дата рождения; место рождения: г. Ленинград; адрес регистрации: Вологодская обл., г. Череповец, пр-кт Луначарского, д. 10, кв. 101, ИНН 352819053143, СНИЛС 065-974-601 05) введена процедура реализации имущества гражданина.</w:t>
      </w:r>
    </w:p>
    <w:p w:rsidR="00481758" w:rsidRPr="00364F12" w:rsidRDefault="00481758" w:rsidP="00F87E3E">
      <w:pPr>
        <w:jc w:val="both"/>
        <w:rPr>
          <w:rFonts w:ascii="Times New Roman" w:hAnsi="Times New Roman"/>
          <w:sz w:val="16"/>
          <w:szCs w:val="16"/>
        </w:rPr>
      </w:pPr>
      <w:r w:rsidRPr="00364F12">
        <w:rPr>
          <w:rFonts w:ascii="Times New Roman" w:hAnsi="Times New Roman"/>
          <w:sz w:val="16"/>
          <w:szCs w:val="16"/>
        </w:rPr>
        <w:t xml:space="preserve">1.2. Финансовым управляющим утвержден Громов Александр Алексеевич, регистрационный номер в сводном государственном реестре арбитражных управляющих 13866, адрес для корреспонденции: </w:t>
      </w:r>
      <w:smartTag w:uri="urn:schemas-microsoft-com:office:smarttags" w:element="metricconverter">
        <w:smartTagPr>
          <w:attr w:name="ProductID" w:val="160014, г"/>
        </w:smartTagPr>
        <w:r w:rsidRPr="00364F12">
          <w:rPr>
            <w:rFonts w:ascii="Times New Roman" w:hAnsi="Times New Roman"/>
            <w:sz w:val="16"/>
            <w:szCs w:val="16"/>
          </w:rPr>
          <w:t>160014, г</w:t>
        </w:r>
      </w:smartTag>
      <w:r w:rsidRPr="00364F12">
        <w:rPr>
          <w:rFonts w:ascii="Times New Roman" w:hAnsi="Times New Roman"/>
          <w:sz w:val="16"/>
          <w:szCs w:val="16"/>
        </w:rPr>
        <w:t xml:space="preserve">. Вологда, ул. Гоголя, д. 90а, оф.21, ИНН 352526741654, СНИЛС 137-003-416 13, тел.сот/тел.факс 8-911-545-72-20/(8172) 54-21-68, эл. адрес: gromov-67@inbox.ru, член Ассоциации Арбитражных Управляющих «Содружество» регистрационный №0043, ИНН 7801351420, ОГРН 1137800008477, </w:t>
      </w:r>
      <w:smartTag w:uri="urn:schemas-microsoft-com:office:smarttags" w:element="metricconverter">
        <w:smartTagPr>
          <w:attr w:name="ProductID" w:val="160014, г"/>
        </w:smartTagPr>
        <w:r w:rsidRPr="00364F12">
          <w:rPr>
            <w:rFonts w:ascii="Times New Roman" w:hAnsi="Times New Roman"/>
            <w:sz w:val="16"/>
            <w:szCs w:val="16"/>
          </w:rPr>
          <w:t>192012, г</w:t>
        </w:r>
      </w:smartTag>
      <w:r w:rsidRPr="00364F12">
        <w:rPr>
          <w:rFonts w:ascii="Times New Roman" w:hAnsi="Times New Roman"/>
          <w:sz w:val="16"/>
          <w:szCs w:val="16"/>
        </w:rPr>
        <w:t xml:space="preserve">. Санкт-Петербург, Запорожская, 27, корп. 2, лит. А, пом. 3С.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1.3. Настоящее Положение о порядке и условиях проведения торгов по продаже имущества Романова Сергея Юрьевича (далее – Положение) определяет порядок и условия продажи имущества Должника, указанного в Приложении №1.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1.4. Настоящее Положение разработано в соответствии с требованиями ст. 213.26, ст.131, ст.139, ст.110, ст.112, Федерального закона от 26.10.2002 г. № 127-ФЗ «О несостоятельности (банкротстве)», а также приказом Минэкономразвития России от 23 июля </w:t>
      </w:r>
      <w:smartTag w:uri="urn:schemas-microsoft-com:office:smarttags" w:element="metricconverter">
        <w:smartTagPr>
          <w:attr w:name="ProductID" w:val="2015 г"/>
        </w:smartTagPr>
        <w:r w:rsidRPr="00364F12">
          <w:rPr>
            <w:rFonts w:ascii="Times New Roman" w:hAnsi="Times New Roman"/>
            <w:sz w:val="16"/>
            <w:szCs w:val="16"/>
          </w:rPr>
          <w:t>2015 г</w:t>
        </w:r>
      </w:smartTag>
      <w:r w:rsidRPr="00364F12">
        <w:rPr>
          <w:rFonts w:ascii="Times New Roman" w:hAnsi="Times New Roman"/>
          <w:sz w:val="16"/>
          <w:szCs w:val="16"/>
        </w:rPr>
        <w:t xml:space="preserve">. №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05 апреля </w:t>
      </w:r>
      <w:smartTag w:uri="urn:schemas-microsoft-com:office:smarttags" w:element="metricconverter">
        <w:smartTagPr>
          <w:attr w:name="ProductID" w:val="2013 г"/>
        </w:smartTagPr>
        <w:r w:rsidRPr="00364F12">
          <w:rPr>
            <w:rFonts w:ascii="Times New Roman" w:hAnsi="Times New Roman"/>
            <w:sz w:val="16"/>
            <w:szCs w:val="16"/>
          </w:rPr>
          <w:t>2013 г</w:t>
        </w:r>
      </w:smartTag>
      <w:r w:rsidRPr="00364F12">
        <w:rPr>
          <w:rFonts w:ascii="Times New Roman" w:hAnsi="Times New Roman"/>
          <w:sz w:val="16"/>
          <w:szCs w:val="16"/>
        </w:rPr>
        <w:t xml:space="preserve">. № 178 и признании утратившими силу некоторых приказов Минэкономразвития России".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2. Имущество должника, подлежащее продаже в соответствии с настоящим Положением.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2.1. Состав имущества, подлежащего продаже в порядке, установленном настоящим Положением, определен в Приложении №1 к настоящему Положению, которое является неотъемлемой частью настоящего Положения. </w:t>
      </w:r>
    </w:p>
    <w:p w:rsidR="00481758" w:rsidRPr="00364F12" w:rsidRDefault="00481758" w:rsidP="00733382">
      <w:pPr>
        <w:jc w:val="both"/>
        <w:rPr>
          <w:rFonts w:ascii="Times New Roman" w:hAnsi="Times New Roman"/>
          <w:color w:val="000000"/>
          <w:sz w:val="16"/>
          <w:szCs w:val="16"/>
        </w:rPr>
      </w:pPr>
      <w:r w:rsidRPr="00364F12">
        <w:rPr>
          <w:rFonts w:ascii="Times New Roman" w:hAnsi="Times New Roman"/>
          <w:sz w:val="16"/>
          <w:szCs w:val="16"/>
        </w:rPr>
        <w:t xml:space="preserve">2.2. В составе имущества, подлежащего продаже, отсутствует имущество, изъятое из оборота, или ограниченное в обороте. В состав имущества входит </w:t>
      </w:r>
      <w:r w:rsidRPr="00364F12">
        <w:rPr>
          <w:rFonts w:ascii="Times New Roman" w:hAnsi="Times New Roman"/>
          <w:color w:val="000000"/>
          <w:sz w:val="16"/>
          <w:szCs w:val="16"/>
        </w:rPr>
        <w:t xml:space="preserve">Имущество гражданина, принадлежащее ему на праве общей долевой собственности.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2.3. Сведения о проведении инвентаризации (описи) имущества: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 Опись имущества Должника проведена финансовым управляющим Громовым А.А. по состоянию на 28 июня 2018 года.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Оценка имущества Должника проведена финансовым управляющим Громовым А.А.. на основании ч.2 ст.213.26 Закона о банкротстве самостоятельно 12 июля 2018 года и составляет: по лоту № 1 – 87444,00 рублей.</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3. Порядок продажи имущества должника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3.1. Продажа имущества должника в соответствии с настоящим предложением осуществляется на торгах посредством проведения аукциона. Выигравшим аукцион признается участник, предложивший наиболее высокую цену за продаваемое имущество.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3.2. Организатором торгов выступает финансовый управляющий должника Громов Александр Алексеевич.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3.3. Аукцион проводится открытым по составу участников. Предложения о цене имущества представляются в открытой форме и заявляются участниками открыто в ходе аукциона, по правилам проведения аукциона с шагом на повышение. Размер задатка составляет 20 % от начальной цены лота. Задаток должен быть зачислен на специальный счет должника/оператора торгов (о чем указывается в информационном сообщении) не позднее даты поступления заявки. Шаг аукциона – 5 % от начальной цены лота. Прочие условия и порядок участия в торгах, их организации и проведения, подведения итогов торгов определены в соответствующем разделе настоящего Положения.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3.4. Продажа имущества оформляется договором купли-продажи, который заключает финансовый управляющий с победителем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Обязательными условиями договора купли-продажи являются: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сведения об имуществе, его составе, характеристиках;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основание заключения договора;</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цена продажи имущества;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порядок и срок передачи имущества покупателю;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сведения о наличии или об отсутствии обременении в отношении имущества, в том числе публичного сервитута;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иные предусмотренные законодательством Российской Федерации условия.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соответствие с законодательством Российской Федерации, либо в отсутствие такового при включении в условия договора соответствующего указания о порядке передачи имущества.</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Порядок расчетов в договоре купли-продажи должен предусматривать полную оплату покупателем за имущество в течение 15 дней со дня подписания этого договора.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3.5. В случае признания торгов несостоявшимися, а также в случае незаключения договора купли-продажи с единственным участником торгов, финансовый управляющий в течение 2 дней после завершения срока, установленного Федеральным законом от 26.12.2002 г. №127-ФЗ «О несостоятельности (банкротстве)», принимает решение о проведении повторных торгов. Повторные торги проводятся в том же порядке по цене, уменьшенной на 10% от начальной продажной цены, установленной на первоначальных торгах. При этом к единственному участнику торгов, имеющему право на заключение договора  также применяются положения регулирующие случаи отказа в возврате задатка Победителю торгов при его уклонении от заключения договора или отказа в оплате за имущество в установленный в договоре срок.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3.6. В случае признания несостоявшимися повторных торгов, либо в случае незаключения договора купли-продажи с единственным участником по результатам повторных торгов, имущество подлежит продаже на открытых торгах посредством публичного предложения.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Порядок продажи имущества посредством публичного предложения определяется в соответствие с настоящим Положением.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4. Сроки продажи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4.1. Заявка на опубликование сообщения о продаже имущества на торгах должна быть направлена организатором торгов в официальное издание, установленное ст. 213.7 Федерального закона от 26.10.2002 г. № 127-ФЗ «О несостоятельности (банкротстве)» в срок не позднее 10 рабочих дней с даты утверждения настоящего положения.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4.2. Сроки, учитываемые при проведении торгов, определяются в соответствии с Федеральным законом от 26.10.2002 г. № 127-ФЗ «О несостоятельности (банкротстве)» и настоящим Положением.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4.3. Заявка на опубликование сообщения о продаже имущества на повторных торгах должна быть направлена организатором торгов в официальное издании, установленное ст. 213.7 Федерального закона от 26.10.2002 г. № 127-ФЗ «О несостоятельности (банкротстве)», в срок не позднее 15 рабочих дней после возникновения обстоятельств, при которых проводятся повторные торги.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4.4. Если установленные настоящим Положением сроки превышают установленный судом срок реализации имущества в отношении должника, и имущество не реализовано в пределах этих сроков, финансовый управляющий вправе обратиться в суд с ходатайством о продлении срока реализации имущества.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 Продажа имущества должника на торгах, проводимых в электронной форме.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5.1. Имущество Должника (недвижимое имущество; ценные бумаги; имущественные права; вещь, рыночная стоимость которой превышает пятьсот тысяч рублей, в том числе неделимая вещь, сложная вещь, главная вещь и вещь, связанная с ней общим назначением, заложенное имущество), подлежит продаже на торгах, проводимых в электронной форме.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5.1.1. Проведение торгов осуществляется по правилам, установленным ст.447-449 Гражданского кодекса РФ, ст.110, 111, 139, 140 ФЗ «О несостоятельности (банкротстве)» № 127-ФЗ, Приказом Минэкономразвития России от 23.06.2015 г. №495 с изменениями и дополнениями (далее – Приказ).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5.1.2. Торги по продаже Имущества проводятся в форме аукциона, открытого по составу участников, поскольку в составе Имущества Должника отсутствует имущество, относящееся к ограниченно оборотоспособному.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5.1.3. Форма подачи предложений о цене Имущества, продаваемого на аукционе, является открытой.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5.1.4. Продавцом Имущества, организатором торгов выступает финансовый управляющий Громов Александр Алексеевич. Торги проводятся на Электронной торговой площадке, выбор которой осуществляет организатор торгов, в соответствии с требованиями  пункта 1 статьи 20.3 Закона о банкротстве, об обязательной аккредитации привлеченных арбитражным управляющим лиц, в саморегулируемой организации арбитражных управляющих, к числу членов которой принадлежит арбитражный управляющий, которые вступили в силу с 02.12.2014, в связи с принятием Федерального закона «О внесении изменений в Федеральный закон «О несостоятельности (банкротстве)» от 01.12.2014 № 405-ФЗ и действуют по настоящее время.</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5.1.5. Состав лотов, информацию об имуществе, характеристики для указании в сообщении о торгах формирует финансовый управляющий.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5.1.6. Все расходы, связанные с организацией и проведением торгов, осуществляются за счет имущества Должника.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5.2. Подготовка к проведению открытых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5.2.1. Организатор торгов в соответствие с законодательством Российской Федерации и настоящим Положением: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опубликовывает и размещает сообщение о продаже имущества и сообщение о результатах проведения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рассматривает и проверяет заявки на участие в торгах по окончанию срока их направления, предложения о цене имущества;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отказывает в допуске претендентам, чьи заявки или документы не соответствуют условиям участия.</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определяет участников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осуществляет проведение торгов в случае использования открытой формы представления предложений о цене имущества;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определяет победителя торгов и подписывает протокол о результатах проведения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уведомляет заявителей и участников торгов о результатах проведения торгов, путем подписания протоколов, размещаемых в общем доступе на ЭТП.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5.2.2. Финансовый управляющий: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заключает (подписывает) с победителем продажи договор купли-продажи Имущества;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производит расчеты с лицами, подавшими заявки на участие в торгах (далее – Претенденты), участниками и победителем торгов, возвращает задатка при условии наличия полных реквизитов для перечисления;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обеспечивает передачу Имущества покупателю и совершает все необходимые действия, связанные с оформлением перехода права собственности на него.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5.2.3. Оператор электронной площадки: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проводит регистрацию заявителей на электронной площадке; размещает на электронной площадке сообщение о начале представления заявок на участие в открытых торгах; принимает и регистрирует заявки на участие в торгах; обеспечивает возможность рассмотрения заявок и предложений участников торгов о цене имущества организатором торгов, предоставляет возможность организатору торгов определить победителя торгов посредством публичного предложения; предоставляет организатору торгов все данные участников (контактные телефоны, адреса электронной почты, паспортные данные), составляет протоколы об участниках торгов и результатах проведения торгов и направляет его организатору торгов для утверждения, а также размещает его на электронной площадке и в Едином Федеральном реестре сведений о банкротстве.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5.2.4. Информационное сообщение о проведении торгов (далее – Информационное сообщение) должно быть опубликовано в Едином федеральном реестре сведений о банкротстве. Сообщение о продаже имущества должно быть опубликовано не позднее, чем за 30 дней до даты проведения торгов. В сообщении должны содержаться: сведения о продаваемом имуществе, его составе, характеристиках, порядке ознакомления с имуществом; сведения о форме проведения торгов и форме представления предложений о цене; порядок, место, срок и время представления заявок на участие в торгах; порядок оформления участия в торгах, перечень представляемых участниками торгов документов и требования к их оформлению; размер задатка, сроки и порядок внесения задатка, реквизиты счетов, на которые вносится задаток; начальная цена продажи имущества; величина повышения начальной цены продажи имущества («шаг аукциона»); порядок и критерии выявления победителя торгов;  дата, время и место подведения результатов торгов; порядок и срок заключения договора купли-продажи имущества; сроки платежей, реквизиты счетов, на которые вносятся платежи; сведения об организаторе торгов, его почтовый адрес, адрес электронной почты, номер контактного телефона.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5.2.5. Проект договора купли-продажи, договора о задатке имущества подлежит включению в Единый федеральный реестр сведений о банкротстве, размещению на ЭТП, без опубликования в официальном издании. </w:t>
      </w:r>
    </w:p>
    <w:p w:rsidR="00481758" w:rsidRPr="00364F12" w:rsidRDefault="00481758" w:rsidP="00CA3866">
      <w:pPr>
        <w:jc w:val="both"/>
        <w:rPr>
          <w:rFonts w:ascii="Times New Roman" w:hAnsi="Times New Roman"/>
          <w:sz w:val="16"/>
          <w:szCs w:val="16"/>
        </w:rPr>
      </w:pPr>
      <w:r w:rsidRPr="00364F12">
        <w:rPr>
          <w:rFonts w:ascii="Times New Roman" w:hAnsi="Times New Roman"/>
          <w:sz w:val="16"/>
          <w:szCs w:val="16"/>
        </w:rPr>
        <w:t>5.3. Условия участия в открытых торгах по продаже имущества в деле о несостоятельности (банкротстве) Должника №А13-20581/2017.</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5.3.1. К участию в торгах допускаются физические и юридические лица, зарегистрировавшиеся на электронной площадке, своевременно подавшие заявку и представившие надлежащим образом оформленные документы в соответствии с настоящим предложением, а также внесшие необходимый задаток на счет должника, указанный в сообщении о продаже. Обязанность доказать свое право на участие в торгах лежит на заинтересованном лице.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5.3.2. Для регистрации на электронной площадке, Заявитель, на регистрацию на электронной площадке с помощью программно-аппаратных средств сайта, представляет Оператору электронной площадки заявление на регистрацию, с приложением документов и сведений, предусмотренных регламентом электронной площадки, документы и сведения должны быть представлены в форме электронного сообщения, подписанного усиленной квалифицированной электронной подписью заявителя. Копии документов представляются в виде электронного сообщения, содержащего электронную копию (цветной электронный образ/скан-копия) документа, изготовленного на бумажном носителе.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5.3.3. При приеме документов и сведений Оператор электронной площадки регистрирует их в журнале заявок на регистрацию, с присвоением порядкового номера. Занесение в журнал документов и сведений, представленные для регистрации на электронной площадке заявителями, поданные с помощью страницы регистрации на электронной площадке, автоматически фиксируются отметкой сервера штампов времени, на момент их поступления.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5.3.4. В срок не позднее трех рабочих дней, с момента поступления документов и сведений на регистрацию, Оператор электронной площадки обязан рассмотреть заявление на регистрацию и принять решение о регистрации либо об отказе в регистрации лица на электронной площадке. Оператор электронной площадки отказывает Заявителю в регистрации в случае непредставления им определенных настоящим Положением документов и сведений, или в случае, если представленные заявителем документы не соответствуют установленным к ним требованиям или представленные документы и сведения недостоверны.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5.3.5. В случае принятия решения о регистрации Заявителя, программным обеспечение электронной площадки производится регистрация и создание индивидуального рабочего раздела (личного кабинета), доступ к которому предоставляется только Заявителю. Непосредственно после принятия решения о регистрации программным обеспечением электронной площадки на указанный заявителем адрес электронной почты отправляется уведомление о регистрации, содержащее идентифицирующие Заявителя данные для входа на электронную площадку (имя пользователя и пароль).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5.3.6. В случае принятия решения об отказе Заявителю в регистрации, программным обеспечением электронной площадки на указанным Заявителем адрес электронной почты отправляется уведомление об отказе в регистрации с указанием причины отказа и ее обоснованием. После устранения указанных оснований для отказа в регистрации, Заявитель вправе повторно подать заявление на регистрацию и представить документы и сведения, предусмотренные настоящим Положением.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5.3.7. Для участия в торгах Претендент, вносит задаток на счет Продавца/либо оператора электронных торгов, указанный в информационном сообщении, до даты подачи заявки. Задаток вносится Заявителем в счет обеспечения оплаты приобретаемого на торгах Имущества.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5.4. Предоставление заявок на участие в открытых торгах.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5.4.1. Прием заявок и других документов, указанных в информационном сообщении, начинается с момента, указанного в информационном сообщении до момента, определенного в информационном сообщении. Продолжительность приема заявок на участие в торгах составляет двадцать пять рабочих дней, с учетом времени действующего у оператора электронных торгов, возможно отличного от московского, о чем указывается в сообщении о торгах.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5.4.2. В день начала приема заявок на участие в открытых торгах программным обеспечением электронной площадки осуществляется размещение сообщения о начале предоставления заявок на участие в открытых торгах.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5.4.3. Любое лицо, зарегистрированное на электронной площадке, вправе подать заявку на участие в открытых торгах посредством заполнения формы, как в личных целях, так и в интересах какого-либо третьего лица (по агентскому договору) доступ которой осуществляется с страницы интересующих торгов, при условии прохождения процедуры аутентификации на электронно-торговой площадке. Введенные данные и приложенные документы заверяются квалифицированной электронной подписью этого лица, могут быть изменены Заявителем до даты рассмотрения заявки.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5.4.4. При подаче заявки на участие в открытых торгах Заявителем предоставляются следующие документы и сведения, предусмотренные ст. 110 Закона о банкротстве, а также подтверждение зачисления задатка (в виде электронного документа –цветной скан копии платежного поручения, чека-ордера иного документа, подтверждающего уплату задатка претендентом или его представителем до даты регистрации заявки на ЭТП).</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в случае, если претендент уполномочил агента на участие в торгах, от его имени и в его интересах, указанные выше документы представляются агентом в интересах претендента с обязательным приложением соответствующего договора, доверенности на делегирование полномочий на участие в торгах.</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5.4.5. В течение тридцати минут с момента представления заявки на участие в открытых торгах заявка регистрируется в журнале заявок с присвоением порядкового номера и фиксированием даты и точного времени ее предоставления, в соответствии с отметкой сервера штампов времени.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5.4.6. Программным обеспечением электронной площадки осуществляется направление Заявителю подтверждения регистрации представленной заявки на участие в торгах в день регистрации такой заявки с указанием порядкового номера, даты и точного времени ее представления.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5.4.7. Заявитель вправе отозвать заявку на участие в торгах не позднее окончания срока представления заявок на участие в торгах, направив об это уведомление Оператору электронной площадки, подписанного квалифицированной электронной подписью.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5.4.8. Существенное изменение заявки, заявленной цены (при публичном предложении) допускается только путем подачи Заявителем новой заявки не позднее окончания срока предоставления заявок на участие в торгах, при этом первоначальная заявка должна быть отозвана.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5.5. Определение участников открытых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5.5.1. Не позднее тридцати минут,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и не отозванные до истечения установленного срока окончания представления заявок и приложенные к ним документы с указанием даты и точного времени предоставления заявки на участие в торгах, порядкового номера регистрации каждой заявки.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5.5.2. Решение Организатора торгов о допуске заявителей к участию в открытых торгах принимается в течение одного календарного дня по результатам рассмотрения всех представленных заявок на участие в открытых торгах и оформляется протоколом об определении участников торгов. Направляет протокол в форме электронного сообщения, подписанного квалифицированной электронной подписью, Оператору электронной площадки в день его подписания.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5.5.3.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законодательством о несостоятельности (банкротстве) и указанным в сообщении о проведении торгов, уплатившие задаток. Заявители, допущенные к участию в торгах, признаются участниками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5.5.4. Решение об отказ в допуске заявителя к участию в торгах принимается в случае, если: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заявка на участие в торгах не соответствует требованиям, установленным в соответствие с ФЗ «О несостоятельности (банкротстве)» № 127-ФЗ и указанным в сообщении о проведении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представленные заявителем документы не соответствуют установленным к ним требованиям или недостоверны;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поступление задатка на счет, указанный в сообщении о проведении торгов, не подтверждено на дату составления протокола об определении участников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5.5.5.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форме электронного документа копий протокола об определении участников торгов в течение пяти дней со дня подписания указанного протокола в автоматическом режиме работы ЭТП.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5.5.6. Протокол об определении участников торгов формируется оператором электронных торгов, содержит перечень заявителей, допущенных к участию в торгах, а также перечень заявителей, которым отказано в допуске к участию в торгах с указанием для всех заявителей наименования юридического лица или фамилии, имени, отчества (последнее - при наличии) физического лица, идентификационного номера налогоплательщика, основного государственного регистрационного номера (для юридического лица и индивидуального предпринимателя), а также оснований принятого решения об отказе в допуске заявителя к участию в торгах.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5.5.7.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5.5.8. Организатор торгов вправе отказаться от проведения торгов, приостановить проведение торгов при наличии оснований, объявив об этом не позднее, чем за три дня до его проведения, путем направления извещения на электронную торговую площадку в форме электронного сообщения.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5.6. Порядок проведения открытых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5.6.1.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5.6.2. Предложения о цене имущества должника представляются участниками торгов одновременно с представлением заявок на участие в торгах или в день подведения результатов торгов до указанного в сообщении о проведении торгов времени подведения результатов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5.6.3. Победителем торгов признается участник торгов, предложивший максимальную цену за имущество должника.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5.6.4. Оператор электронной площадки принимает и фиксирует точное время предложения участников торгов о цене имущества должника, что позволяет определить победителя открытых торгов по лоту. Предложения о цене заявляются участниками торгов открыто и размещаются оператором электронной площадки. Если в течение одного часа с момента представления предложений о цене не поступило ни одного предложения о цене, торги завершаются автоматически, при этом представление и принятие предложений о цене прекращаются.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 Если в течение тридцати минут после представления последнего предложения о цене (не учитывая отклоненных предложений о цене) не поступило следующее предложение, торги сайта завершаются автоматически.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 Порядок подведения результатов открытых торгов и признания открытых торгов несостоявшимися.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5.7.1. По результатам проведения открытых торгов, Оператор электронной площадки с помощью программных средств электронной площадки не позднее тридцати минут после окончания открытых торгов формирует и направляет проект протокола о результатах проведения торгов или решения о признании торгов несостоявшимися Организатору торгов для утверждения. Указанный проект протокола или решения в течение одного часа с момента его утверждения направляется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Протокол о результатах проведения торгов размещается Оператором электронной площадки на электронной площадке и направляется в Единый федеральный реестр сведений о банкротстве не позднее тридцати минут после поступления протокола о результатах проведения торгов от Организатора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5.7.2. В протоколе о результатах проведения торгов указываются сведения, формируемые оператором электронных торгов, в том числе: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наименование и место нахождения (для юридического лица), фамилия, имя, отчество (последнее – при наличии) и место жительства (для физического лица) каждого участника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предложения о цене имущества, представленные каждым участником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результаты рассмотрения предложений о цене имущества, представленных участниками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наименование и место нахождения (для юридического лица), фамилия, имя, отчество (последнее – при наличии) и место жительства (для физического лица) победителя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обоснование принятого организатором торгов решения о признании участника торгов победителем.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5.7.3. 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всем участникам открытых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5.7.4. Решение о признании участника торгов может быть обжаловано в порядке, установленном законодательством РФ. </w:t>
      </w:r>
    </w:p>
    <w:p w:rsidR="00481758" w:rsidRPr="00C72CA6" w:rsidRDefault="00481758" w:rsidP="00C72CA6">
      <w:pPr>
        <w:jc w:val="both"/>
        <w:rPr>
          <w:rFonts w:ascii="Times New Roman" w:hAnsi="Times New Roman"/>
          <w:color w:val="000000"/>
        </w:rPr>
      </w:pPr>
      <w:r w:rsidRPr="00364F12">
        <w:rPr>
          <w:rFonts w:ascii="Times New Roman" w:hAnsi="Times New Roman"/>
          <w:sz w:val="16"/>
          <w:szCs w:val="16"/>
        </w:rPr>
        <w:t xml:space="preserve">5.7.5. Суммы внесенных заявителями задатков (при наличии полных реквизитов  заявления) возвращаются всем заявителям, за исключением победителя торгов, единственного участника с которым организатор заключает договор купли -продажи (в случае заключения договора купли-продажи уплаченный Победителем торгов задаток засчитывается в стоимость приобретаемого имущества, в случае отказа/уклонения от заключения договора купли-продажи, не выполнения условий заключенного договора купли-продажи, </w:t>
      </w:r>
      <w:r w:rsidRPr="00C72CA6">
        <w:rPr>
          <w:rFonts w:ascii="Times New Roman" w:hAnsi="Times New Roman"/>
          <w:sz w:val="16"/>
          <w:szCs w:val="16"/>
        </w:rPr>
        <w:t>уплаченный задаток возврату не подлежит, зачисляется в конкурсную массу), в течение пяти рабочих дней со дня подписания протокола о результатах проведения торгов, при наличии заявления с указанием полных банковских реквизитов, номера карты.</w:t>
      </w:r>
      <w:r>
        <w:rPr>
          <w:rFonts w:ascii="Times New Roman" w:hAnsi="Times New Roman"/>
          <w:sz w:val="16"/>
          <w:szCs w:val="16"/>
        </w:rPr>
        <w:t xml:space="preserve"> </w:t>
      </w:r>
      <w:r w:rsidRPr="00C72CA6">
        <w:rPr>
          <w:rFonts w:ascii="Times New Roman" w:hAnsi="Times New Roman"/>
          <w:sz w:val="16"/>
          <w:szCs w:val="16"/>
        </w:rPr>
        <w:t>При возврате задатка комиссия банка не подлежит уплате за счет имущества Должника и относится на претендента, задаток подлежит возврату за вычетом комиссии банка по переводу/возврату денежных средств.</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5.7.6. При отсутствии заявок на участие в торгах Организатор торгов принимает решение о признании торгов несостоявшимися.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5.7.7. 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 установленном ст. 213.7 ФЗ «О несостоятельности (банкротстве)» № 127-ФЗ. В случае, если торги признаны состоявшимися, в этом информационном сообщении должны быть указаны сведения о победителе торгов, в том числе о наличии или отсутствии заинтересованности победителя торгов по отношению к должнику, кредиторам, финансовому управляющему и о характере этой заинтересованности, сведения об участии в капитале победителя торгов финансового управляющего, саморегулируемой организации арбитражных управляющих, членом или руководителем которой является финансовый управляющий, а также сведения о предложенной победителем цене имущества.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5.7.8. В течение пяти дней с даты подписания протокола о результатах проведения торгов Организатор торгов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продажи Положением о цене имущества.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5.7.9. В случае отказа или уклонения победителя торгов от подписания договора купли-продажи в течение пяти дней со дня получения предложения финансового управляющего о заключения такого договора, внесенный задаток ему не возвращается, и организатор торгов имеет право предложить заключить договор купли-продажи участнику продажи, предложившему наиболее высокую цену имущества должника по сравнению с ценой, предложенной другими участниками продажи, за исключением победителя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заключается финансовым управляющим с этим участником торгов в соответствии с представленным им предложением о цене имущества.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5.7.10. В случае, если открытые торги признаны несостоявшимися и в случае не заключения договора купли-продажи с единственным участником торгов, а также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с единственным участником торгов и для заключения договора купли-продажи по результатам торгов, принимает решение о проведении повторных торгов и об установлении начальной цены продажи имущества.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5.7.11. Организатор торгов в течение трех рабочих дней со дня заключения договора купли-продажи направляет для размещения в единый федеральный реестр сведений о банкротстве сведения о заключения договора купли-продажи имущества должника (дата заключения договора с победителем открытых торгов или сведения об отказе или уклонении победителя открытых торгов от заключения договора, дата заключения договора с иным участником торгов и цена, по которой имущество приобретено покупателем, сведения об отказе или уклонении иного участника от заключения договора купли-продажи, цену, по которой имущество приобретено покупателем).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5.7.12. Если в соответствии с настоящим Положением торги признаны несостоявшимися, организатор торгов в течение двух дней после утверждения протокола о признании открытых торгов несостоявшимися, принимает решение о проведении повторных торгов и об установлении начальной цены.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5.7.13. Организатор торгов в течение трех рабочих дней со дня принятия решения о признании торгов несостоявшимися направляет для размещения в Единый федеральный реестр сведений о банкротстве сообщение о результатах проведения торгов, о признании торгов несостоявшимися.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5.7.14. В случае признания торгов несостоявшимися и не заключения договора купли-продажи с единственным участником торгов, проводятся повторные торги в порядке, установленным настоящим разделом Положения.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условия участия, уплаты задатка, возврата задатка изменению не подлежат.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5.7.15. Продажа имущества оформляется договором купли-продажи имущества, который заключает финансовый управляющий с победителем торгов.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5.7.16. В случае неоплаты имущества в течение пятнадцати дней со дня подписания договора купли-продажи, договор купли-продажи подлежит расторжению финансовым управляющим в одностороннем порядке, путем направления уведомления покупателю имущества, при этом покупатель имущества – победитель торгов утрачивает право на возврат уплаченной суммы задатка. Сумма задатка включается в конкурсную массу должника.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5.7.17. В случае признания несостоявшимися повторных торгов, либо в случае не заключения договора купли-продажи с единственным участником по результатам повторных торгов, имущество подлежит продаже на открытых торгах посредством публичного предложения. Порядок продажи имущества посредством публичного предложения определяется в соответствии с настоящим Положением.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6. Порядок продажи посредством публичного предложения.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6.1. В части, непредусмотренной настоящим разделом, применяются положения о порядке и условиях проведения торгов посредством публичного предложения, указанные в разделах 1-6 настоящего Положения.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6.2. Прием заявок в электронной форме начинается с даты, указанной в информационном сообщении о проведении торгов посредством публичного предложения в едином федеральном реестре сведений о банкротстве,  на сайте электронной торговой площадки и прекращается: при наличии допущенных к участию заявителей с даты определения победителя торгов в периоде снижения цены, в котором поступило ценовое предложение заявителя, либо по окончанию всех периодов снижения цены.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6.3. Начальная цена продажи Имущества, выставляемого на торги посредством публичного предложения, устанавливается в размере начальной цены, указанной в сообщении о продаже имущества на повторных торгах.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6.4. Продажа имущества производится с поэтапным снижением цены продажи имущества, осуществляемым в следующем порядке: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1-5 день – начальная цена продажи имущества, затем каждые последующие пять дней стоимость снижается на десять процентов от начальной продажной цены на публичном предложении, до истечения периодов снижения.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6.5. Задаток для участия в торгах устанавливается размере 20% от цены предложения в заявленном периоде. Задаток вносится претендентом на счет, указанный в публикации о торгах в официальном издании до даты подачи заявки, подтверждение уплаты задатка прикладывается к заявке в виде цветной скан копии.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6.6. Победителем торгов признается участник, который представил в установленный срок заявку,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В случае, если несколько участников торгов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имущество. В случае, если несколько участников торгов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по продаже имущества.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 xml:space="preserve">При участии в торгах посредством публичного предложения Заявитель обязан перечислить задаток до подачи заявки на участие, приложит к заявке, документ, подтверждающий зачисление задатка и обеспечить поступление задатка на счет, указанный в информационном сообщении о продаже, не позднее указанной в таком сообщении даты и времени окончания приема заявок на участие в торгах для соответствующего периода проведения торгов, для возможности организатору торгов подвести итоги периода в установленный срок. </w:t>
      </w:r>
    </w:p>
    <w:p w:rsidR="00481758" w:rsidRPr="00364F12" w:rsidRDefault="00481758" w:rsidP="00A66442">
      <w:pPr>
        <w:jc w:val="both"/>
        <w:rPr>
          <w:rFonts w:ascii="Times New Roman" w:hAnsi="Times New Roman"/>
          <w:sz w:val="16"/>
          <w:szCs w:val="16"/>
        </w:rPr>
      </w:pPr>
      <w:r w:rsidRPr="00364F12">
        <w:rPr>
          <w:rFonts w:ascii="Times New Roman" w:hAnsi="Times New Roman"/>
          <w:sz w:val="16"/>
          <w:szCs w:val="16"/>
        </w:rPr>
        <w:t xml:space="preserve">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w:t>
      </w:r>
    </w:p>
    <w:p w:rsidR="00481758" w:rsidRPr="00364F12" w:rsidRDefault="00481758" w:rsidP="002368AD">
      <w:pPr>
        <w:jc w:val="both"/>
        <w:rPr>
          <w:rFonts w:ascii="Times New Roman" w:hAnsi="Times New Roman"/>
          <w:sz w:val="16"/>
          <w:szCs w:val="16"/>
        </w:rPr>
      </w:pPr>
      <w:r w:rsidRPr="00364F12">
        <w:rPr>
          <w:rFonts w:ascii="Times New Roman" w:hAnsi="Times New Roman"/>
          <w:sz w:val="16"/>
          <w:szCs w:val="16"/>
        </w:rPr>
        <w:t xml:space="preserve">6.7. В случае признания продажи имущества несостоявшейся, имущество передается в порядке п.5 ст.213.26 Федерального закона от 26.10.2002 №127-ФЗ «О несостоятельности (банкротстве)»». </w:t>
      </w:r>
    </w:p>
    <w:p w:rsidR="00481758" w:rsidRPr="00364F12" w:rsidRDefault="00481758" w:rsidP="002368AD">
      <w:pPr>
        <w:jc w:val="both"/>
        <w:rPr>
          <w:rFonts w:ascii="Times New Roman" w:hAnsi="Times New Roman"/>
          <w:sz w:val="16"/>
          <w:szCs w:val="16"/>
        </w:rPr>
      </w:pPr>
      <w:r w:rsidRPr="00364F12">
        <w:rPr>
          <w:rFonts w:ascii="Times New Roman" w:hAnsi="Times New Roman"/>
          <w:sz w:val="16"/>
          <w:szCs w:val="16"/>
        </w:rPr>
        <w:t>6.8. Ознакомление с предметом торгов и документацией, предоставление информации:</w:t>
      </w:r>
    </w:p>
    <w:p w:rsidR="00481758" w:rsidRPr="00364F12" w:rsidRDefault="00481758" w:rsidP="002368AD">
      <w:pPr>
        <w:spacing w:after="0" w:line="240" w:lineRule="auto"/>
        <w:jc w:val="both"/>
        <w:rPr>
          <w:rFonts w:ascii="Times New Roman" w:hAnsi="Times New Roman"/>
          <w:color w:val="000000"/>
          <w:sz w:val="16"/>
          <w:szCs w:val="16"/>
          <w:lang w:eastAsia="ru-RU"/>
        </w:rPr>
      </w:pPr>
      <w:r w:rsidRPr="00364F12">
        <w:rPr>
          <w:rFonts w:ascii="Times New Roman" w:hAnsi="Times New Roman"/>
          <w:color w:val="000000"/>
          <w:sz w:val="16"/>
          <w:szCs w:val="16"/>
          <w:lang w:eastAsia="ru-RU"/>
        </w:rPr>
        <w:t xml:space="preserve">Ознакомление с документацией по предмету торгов, запись на осмотр, получение информации по порядку проведения торгов и оформлению участия в них осуществляется по предварительной записи по телефону организатора торгов </w:t>
      </w:r>
      <w:r w:rsidRPr="00364F12">
        <w:rPr>
          <w:rFonts w:ascii="Times New Roman" w:hAnsi="Times New Roman"/>
          <w:sz w:val="16"/>
          <w:szCs w:val="16"/>
        </w:rPr>
        <w:t>контактный телефон, факс (8172) 542168</w:t>
      </w:r>
      <w:r w:rsidRPr="00364F12">
        <w:rPr>
          <w:rFonts w:ascii="Times New Roman" w:hAnsi="Times New Roman"/>
          <w:color w:val="000000"/>
          <w:sz w:val="16"/>
          <w:szCs w:val="16"/>
          <w:lang w:eastAsia="ru-RU"/>
        </w:rPr>
        <w:t xml:space="preserve"> в рабочие дни, с 12:00 ч. до 14:00 ч. (мск) в течение срока подачи заявок на участие в торгах, иная информация по эл. почте: </w:t>
      </w:r>
      <w:r w:rsidRPr="00364F12">
        <w:rPr>
          <w:rFonts w:ascii="Times New Roman" w:hAnsi="Times New Roman"/>
          <w:sz w:val="16"/>
          <w:szCs w:val="16"/>
        </w:rPr>
        <w:t>gromov-67@inbox.ru</w:t>
      </w:r>
      <w:r w:rsidRPr="00364F12">
        <w:rPr>
          <w:rFonts w:ascii="Times New Roman" w:hAnsi="Times New Roman"/>
          <w:color w:val="000000"/>
          <w:sz w:val="16"/>
          <w:szCs w:val="16"/>
          <w:lang w:eastAsia="ru-RU"/>
        </w:rPr>
        <w:t xml:space="preserve"> </w:t>
      </w:r>
      <w:bookmarkStart w:id="0" w:name="_GoBack"/>
      <w:bookmarkEnd w:id="0"/>
      <w:r w:rsidRPr="00364F12">
        <w:rPr>
          <w:rFonts w:ascii="Times New Roman" w:hAnsi="Times New Roman"/>
          <w:color w:val="000000"/>
          <w:sz w:val="16"/>
          <w:szCs w:val="16"/>
          <w:lang w:eastAsia="ru-RU"/>
        </w:rPr>
        <w:t xml:space="preserve">(круглосуточно), в рабочие дни по адресу организатора торгов: 160009, г. Вологда, ул. Гоголя, д. 90а, офис 21. Возможен самостоятельный осмотр недвижимого имущества по месту его нахождения. При направлении заявки на ознакомление с документацией в электронном виде, о предоставлении копий документов, содержащих личные данные должника, обязательно к предоставлению цветная скан-копия паспорта заявителя, поскольку информация в документах содержит персональные данные должника не подлежащие предоставлению неустановленным лицам, в целях соблюдения должной осторожности и осмотрительности.  </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приложение к Положению:</w:t>
      </w:r>
    </w:p>
    <w:p w:rsidR="00481758" w:rsidRPr="00364F12" w:rsidRDefault="00481758" w:rsidP="00733382">
      <w:pPr>
        <w:jc w:val="both"/>
        <w:rPr>
          <w:rFonts w:ascii="Times New Roman" w:hAnsi="Times New Roman"/>
          <w:sz w:val="16"/>
          <w:szCs w:val="16"/>
        </w:rPr>
      </w:pPr>
      <w:r w:rsidRPr="00364F12">
        <w:rPr>
          <w:rFonts w:ascii="Times New Roman" w:hAnsi="Times New Roman"/>
          <w:sz w:val="16"/>
          <w:szCs w:val="16"/>
        </w:rPr>
        <w:t>1. Приложение № 1, определяющее состав лота – недвижимого имущества.</w:t>
      </w:r>
    </w:p>
    <w:p w:rsidR="00481758" w:rsidRPr="00364F12" w:rsidRDefault="00481758" w:rsidP="00733382">
      <w:pPr>
        <w:spacing w:line="240" w:lineRule="auto"/>
        <w:rPr>
          <w:rFonts w:ascii="Times New Roman" w:hAnsi="Times New Roman"/>
          <w:sz w:val="16"/>
          <w:szCs w:val="16"/>
        </w:rPr>
      </w:pPr>
      <w:r w:rsidRPr="00364F12">
        <w:rPr>
          <w:rFonts w:ascii="Times New Roman" w:hAnsi="Times New Roman"/>
          <w:b/>
          <w:sz w:val="16"/>
          <w:szCs w:val="16"/>
        </w:rPr>
        <w:t>Финансовый управляющий                                       _________________  /А.А. Громов/</w:t>
      </w:r>
    </w:p>
    <w:p w:rsidR="00481758" w:rsidRPr="00364F12" w:rsidRDefault="00481758" w:rsidP="004879BB">
      <w:pPr>
        <w:spacing w:line="240" w:lineRule="auto"/>
        <w:rPr>
          <w:rFonts w:ascii="Times New Roman" w:hAnsi="Times New Roman"/>
          <w:sz w:val="16"/>
          <w:szCs w:val="16"/>
        </w:rPr>
      </w:pPr>
      <w:r w:rsidRPr="00364F12">
        <w:rPr>
          <w:rFonts w:ascii="Times New Roman" w:hAnsi="Times New Roman"/>
          <w:b/>
          <w:sz w:val="16"/>
          <w:szCs w:val="16"/>
        </w:rPr>
        <w:t>Романова С.Ю.</w:t>
      </w:r>
    </w:p>
    <w:p w:rsidR="00481758" w:rsidRPr="00364F12" w:rsidRDefault="00481758" w:rsidP="00733382">
      <w:pPr>
        <w:jc w:val="right"/>
        <w:rPr>
          <w:rFonts w:ascii="Times New Roman" w:hAnsi="Times New Roman"/>
          <w:sz w:val="16"/>
          <w:szCs w:val="16"/>
        </w:rPr>
      </w:pPr>
    </w:p>
    <w:p w:rsidR="00481758" w:rsidRPr="00364F12" w:rsidRDefault="00481758" w:rsidP="00733382">
      <w:pPr>
        <w:jc w:val="right"/>
        <w:rPr>
          <w:rFonts w:ascii="Times New Roman" w:hAnsi="Times New Roman"/>
          <w:sz w:val="16"/>
          <w:szCs w:val="16"/>
        </w:rPr>
      </w:pPr>
    </w:p>
    <w:p w:rsidR="00481758" w:rsidRPr="00364F12" w:rsidRDefault="00481758" w:rsidP="00733382">
      <w:pPr>
        <w:jc w:val="right"/>
        <w:rPr>
          <w:rFonts w:ascii="Times New Roman" w:hAnsi="Times New Roman"/>
          <w:sz w:val="16"/>
          <w:szCs w:val="16"/>
        </w:rPr>
      </w:pPr>
    </w:p>
    <w:p w:rsidR="00481758" w:rsidRPr="00364F12" w:rsidRDefault="00481758" w:rsidP="00733382">
      <w:pPr>
        <w:jc w:val="right"/>
        <w:rPr>
          <w:rFonts w:ascii="Times New Roman" w:hAnsi="Times New Roman"/>
          <w:sz w:val="16"/>
          <w:szCs w:val="16"/>
        </w:rPr>
      </w:pPr>
    </w:p>
    <w:p w:rsidR="00481758" w:rsidRPr="00364F12" w:rsidRDefault="00481758" w:rsidP="00733382">
      <w:pPr>
        <w:jc w:val="right"/>
        <w:rPr>
          <w:rFonts w:ascii="Times New Roman" w:hAnsi="Times New Roman"/>
          <w:sz w:val="16"/>
          <w:szCs w:val="16"/>
        </w:rPr>
      </w:pPr>
    </w:p>
    <w:p w:rsidR="00481758" w:rsidRPr="00364F12" w:rsidRDefault="00481758" w:rsidP="00733382">
      <w:pPr>
        <w:jc w:val="right"/>
        <w:rPr>
          <w:rFonts w:ascii="Times New Roman" w:hAnsi="Times New Roman"/>
          <w:sz w:val="16"/>
          <w:szCs w:val="16"/>
        </w:rPr>
      </w:pPr>
    </w:p>
    <w:p w:rsidR="00481758" w:rsidRPr="00364F12" w:rsidRDefault="00481758" w:rsidP="00733382">
      <w:pPr>
        <w:jc w:val="right"/>
        <w:rPr>
          <w:rFonts w:ascii="Times New Roman" w:hAnsi="Times New Roman"/>
          <w:sz w:val="16"/>
          <w:szCs w:val="16"/>
        </w:rPr>
      </w:pPr>
    </w:p>
    <w:p w:rsidR="00481758" w:rsidRPr="00364F12" w:rsidRDefault="00481758" w:rsidP="00733382">
      <w:pPr>
        <w:jc w:val="right"/>
        <w:rPr>
          <w:rFonts w:ascii="Times New Roman" w:hAnsi="Times New Roman"/>
          <w:sz w:val="16"/>
          <w:szCs w:val="16"/>
        </w:rPr>
      </w:pPr>
    </w:p>
    <w:p w:rsidR="00481758" w:rsidRPr="00364F12" w:rsidRDefault="00481758" w:rsidP="00733382">
      <w:pPr>
        <w:jc w:val="right"/>
        <w:rPr>
          <w:rFonts w:ascii="Times New Roman" w:hAnsi="Times New Roman"/>
          <w:sz w:val="16"/>
          <w:szCs w:val="16"/>
        </w:rPr>
      </w:pPr>
    </w:p>
    <w:p w:rsidR="00481758" w:rsidRPr="00364F12" w:rsidRDefault="00481758" w:rsidP="00733382">
      <w:pPr>
        <w:jc w:val="right"/>
        <w:rPr>
          <w:rFonts w:ascii="Times New Roman" w:hAnsi="Times New Roman"/>
          <w:sz w:val="16"/>
          <w:szCs w:val="16"/>
        </w:rPr>
      </w:pPr>
    </w:p>
    <w:p w:rsidR="00481758" w:rsidRPr="00364F12" w:rsidRDefault="00481758" w:rsidP="00733382">
      <w:pPr>
        <w:jc w:val="right"/>
        <w:rPr>
          <w:rFonts w:ascii="Times New Roman" w:hAnsi="Times New Roman"/>
          <w:sz w:val="16"/>
          <w:szCs w:val="16"/>
        </w:rPr>
      </w:pPr>
    </w:p>
    <w:p w:rsidR="00481758" w:rsidRPr="00364F12" w:rsidRDefault="00481758" w:rsidP="00733382">
      <w:pPr>
        <w:jc w:val="right"/>
        <w:rPr>
          <w:rFonts w:ascii="Times New Roman" w:hAnsi="Times New Roman"/>
          <w:sz w:val="16"/>
          <w:szCs w:val="16"/>
        </w:rPr>
      </w:pPr>
      <w:r w:rsidRPr="00364F12">
        <w:rPr>
          <w:rFonts w:ascii="Times New Roman" w:hAnsi="Times New Roman"/>
          <w:sz w:val="16"/>
          <w:szCs w:val="16"/>
        </w:rPr>
        <w:t>Приложение №1</w:t>
      </w:r>
    </w:p>
    <w:p w:rsidR="00481758" w:rsidRPr="00364F12" w:rsidRDefault="00481758" w:rsidP="00733382">
      <w:pPr>
        <w:spacing w:line="240" w:lineRule="auto"/>
        <w:jc w:val="right"/>
        <w:rPr>
          <w:rFonts w:ascii="Times New Roman" w:hAnsi="Times New Roman"/>
          <w:sz w:val="16"/>
          <w:szCs w:val="16"/>
        </w:rPr>
      </w:pPr>
    </w:p>
    <w:p w:rsidR="00481758" w:rsidRPr="00364F12" w:rsidRDefault="00481758" w:rsidP="00733382">
      <w:pPr>
        <w:spacing w:line="240" w:lineRule="auto"/>
        <w:jc w:val="center"/>
        <w:rPr>
          <w:rFonts w:ascii="Times New Roman" w:hAnsi="Times New Roman"/>
          <w:b/>
          <w:sz w:val="16"/>
          <w:szCs w:val="16"/>
        </w:rPr>
      </w:pPr>
      <w:r w:rsidRPr="00364F12">
        <w:rPr>
          <w:rFonts w:ascii="Times New Roman" w:hAnsi="Times New Roman"/>
          <w:b/>
          <w:sz w:val="16"/>
          <w:szCs w:val="16"/>
        </w:rPr>
        <w:t>Состав имущества,</w:t>
      </w:r>
    </w:p>
    <w:p w:rsidR="00481758" w:rsidRPr="00364F12" w:rsidRDefault="00481758" w:rsidP="00733382">
      <w:pPr>
        <w:spacing w:line="240" w:lineRule="auto"/>
        <w:jc w:val="center"/>
        <w:rPr>
          <w:rFonts w:ascii="Times New Roman" w:hAnsi="Times New Roman"/>
          <w:b/>
          <w:sz w:val="16"/>
          <w:szCs w:val="16"/>
        </w:rPr>
      </w:pPr>
      <w:r w:rsidRPr="00364F12">
        <w:rPr>
          <w:rFonts w:ascii="Times New Roman" w:hAnsi="Times New Roman"/>
          <w:b/>
          <w:sz w:val="16"/>
          <w:szCs w:val="16"/>
        </w:rPr>
        <w:t>подлежащего продаже</w:t>
      </w:r>
    </w:p>
    <w:p w:rsidR="00481758" w:rsidRPr="00364F12" w:rsidRDefault="00481758" w:rsidP="002368AD">
      <w:pPr>
        <w:shd w:val="clear" w:color="auto" w:fill="FFFFFF"/>
        <w:jc w:val="both"/>
        <w:rPr>
          <w:rFonts w:ascii="Times New Roman" w:hAnsi="Times New Roman"/>
          <w:sz w:val="16"/>
          <w:szCs w:val="16"/>
        </w:rPr>
      </w:pPr>
      <w:r w:rsidRPr="00364F12">
        <w:rPr>
          <w:rFonts w:ascii="Times New Roman" w:hAnsi="Times New Roman"/>
          <w:b/>
          <w:sz w:val="16"/>
          <w:szCs w:val="16"/>
        </w:rPr>
        <w:t>Вид имущества – гаражный бокс</w:t>
      </w:r>
      <w:r w:rsidRPr="00364F12">
        <w:rPr>
          <w:rFonts w:ascii="Times New Roman" w:hAnsi="Times New Roman"/>
          <w:sz w:val="16"/>
          <w:szCs w:val="16"/>
        </w:rPr>
        <w:t>:</w:t>
      </w:r>
    </w:p>
    <w:p w:rsidR="00481758" w:rsidRPr="00364F12" w:rsidRDefault="00481758" w:rsidP="002368AD">
      <w:pPr>
        <w:shd w:val="clear" w:color="auto" w:fill="FFFFFF"/>
        <w:autoSpaceDE w:val="0"/>
        <w:autoSpaceDN w:val="0"/>
        <w:spacing w:after="0" w:line="240" w:lineRule="auto"/>
        <w:jc w:val="both"/>
        <w:rPr>
          <w:rFonts w:ascii="Times New Roman" w:hAnsi="Times New Roman"/>
          <w:b/>
          <w:sz w:val="16"/>
          <w:szCs w:val="16"/>
        </w:rPr>
      </w:pPr>
      <w:r w:rsidRPr="00364F12">
        <w:rPr>
          <w:rFonts w:ascii="Times New Roman" w:hAnsi="Times New Roman"/>
          <w:b/>
          <w:sz w:val="16"/>
          <w:szCs w:val="16"/>
        </w:rPr>
        <w:t>Лот № 1</w:t>
      </w:r>
    </w:p>
    <w:p w:rsidR="00481758" w:rsidRPr="00364F12" w:rsidRDefault="00481758" w:rsidP="002368AD">
      <w:pPr>
        <w:shd w:val="clear" w:color="auto" w:fill="FFFFFF"/>
        <w:autoSpaceDE w:val="0"/>
        <w:autoSpaceDN w:val="0"/>
        <w:spacing w:after="0" w:line="240" w:lineRule="auto"/>
        <w:jc w:val="both"/>
        <w:rPr>
          <w:rFonts w:ascii="Times New Roman" w:hAnsi="Times New Roman"/>
          <w:b/>
          <w:sz w:val="16"/>
          <w:szCs w:val="16"/>
        </w:rPr>
      </w:pPr>
      <w:r w:rsidRPr="00364F12">
        <w:rPr>
          <w:rFonts w:ascii="Times New Roman" w:hAnsi="Times New Roman"/>
          <w:sz w:val="16"/>
          <w:szCs w:val="16"/>
        </w:rPr>
        <w:t>Гаражный бокс, находящийся по адресу: Вологодская область, г.Череповец, ул.Любецкая, дом 42</w:t>
      </w:r>
      <w:r w:rsidRPr="00364F12">
        <w:rPr>
          <w:rFonts w:ascii="Times New Roman" w:hAnsi="Times New Roman"/>
          <w:color w:val="000000"/>
          <w:sz w:val="16"/>
          <w:szCs w:val="16"/>
        </w:rPr>
        <w:t>, площадью 26,3 кв.м.</w:t>
      </w:r>
    </w:p>
    <w:p w:rsidR="00481758" w:rsidRPr="00364F12" w:rsidRDefault="00481758" w:rsidP="00B67311">
      <w:pPr>
        <w:jc w:val="both"/>
        <w:rPr>
          <w:rFonts w:ascii="Times New Roman" w:hAnsi="Times New Roman"/>
          <w:sz w:val="16"/>
          <w:szCs w:val="16"/>
        </w:rPr>
      </w:pPr>
      <w:r w:rsidRPr="00364F12">
        <w:rPr>
          <w:rFonts w:ascii="Times New Roman" w:hAnsi="Times New Roman"/>
          <w:sz w:val="16"/>
          <w:szCs w:val="16"/>
        </w:rPr>
        <w:t xml:space="preserve">начальная продажная цена лота </w:t>
      </w:r>
    </w:p>
    <w:p w:rsidR="00481758" w:rsidRPr="00364F12" w:rsidRDefault="00481758" w:rsidP="00B67311">
      <w:pPr>
        <w:jc w:val="both"/>
        <w:rPr>
          <w:rFonts w:ascii="Times New Roman" w:hAnsi="Times New Roman"/>
          <w:b/>
          <w:iCs/>
          <w:sz w:val="16"/>
          <w:szCs w:val="16"/>
        </w:rPr>
      </w:pPr>
      <w:r w:rsidRPr="00364F12">
        <w:rPr>
          <w:rFonts w:ascii="Times New Roman" w:hAnsi="Times New Roman"/>
          <w:b/>
          <w:sz w:val="16"/>
          <w:szCs w:val="16"/>
        </w:rPr>
        <w:t xml:space="preserve">87444 рублей </w:t>
      </w:r>
      <w:r w:rsidRPr="00364F12">
        <w:rPr>
          <w:rFonts w:ascii="Times New Roman" w:hAnsi="Times New Roman"/>
          <w:b/>
          <w:iCs/>
          <w:sz w:val="16"/>
          <w:szCs w:val="16"/>
        </w:rPr>
        <w:t>(Восемьдесят семь тысяч четыреста сорок четыре) рубля.</w:t>
      </w:r>
    </w:p>
    <w:p w:rsidR="00481758" w:rsidRPr="00364F12" w:rsidRDefault="00481758" w:rsidP="00B67311">
      <w:pPr>
        <w:shd w:val="clear" w:color="auto" w:fill="FFFFFF"/>
        <w:autoSpaceDE w:val="0"/>
        <w:autoSpaceDN w:val="0"/>
        <w:spacing w:after="0" w:line="240" w:lineRule="auto"/>
        <w:jc w:val="both"/>
        <w:rPr>
          <w:rFonts w:ascii="Times New Roman" w:hAnsi="Times New Roman"/>
          <w:b/>
          <w:sz w:val="16"/>
          <w:szCs w:val="16"/>
        </w:rPr>
      </w:pPr>
    </w:p>
    <w:p w:rsidR="00481758" w:rsidRPr="00364F12" w:rsidRDefault="00481758" w:rsidP="00733382">
      <w:pPr>
        <w:spacing w:line="240" w:lineRule="auto"/>
        <w:rPr>
          <w:rFonts w:ascii="Times New Roman" w:hAnsi="Times New Roman"/>
          <w:b/>
          <w:sz w:val="16"/>
          <w:szCs w:val="16"/>
        </w:rPr>
      </w:pPr>
    </w:p>
    <w:p w:rsidR="00481758" w:rsidRPr="00364F12" w:rsidRDefault="00481758" w:rsidP="002368AD">
      <w:pPr>
        <w:spacing w:line="240" w:lineRule="auto"/>
        <w:rPr>
          <w:rFonts w:ascii="Times New Roman" w:hAnsi="Times New Roman"/>
          <w:sz w:val="16"/>
          <w:szCs w:val="16"/>
        </w:rPr>
      </w:pPr>
      <w:r w:rsidRPr="00364F12">
        <w:rPr>
          <w:rFonts w:ascii="Times New Roman" w:hAnsi="Times New Roman"/>
          <w:b/>
          <w:sz w:val="16"/>
          <w:szCs w:val="16"/>
        </w:rPr>
        <w:t>Финансовый управляющий                                       _________________  /А.А. Громов/</w:t>
      </w:r>
    </w:p>
    <w:p w:rsidR="00481758" w:rsidRPr="00364F12" w:rsidRDefault="00481758" w:rsidP="002368AD">
      <w:pPr>
        <w:spacing w:line="240" w:lineRule="auto"/>
        <w:rPr>
          <w:rFonts w:ascii="Times New Roman" w:hAnsi="Times New Roman"/>
          <w:sz w:val="16"/>
          <w:szCs w:val="16"/>
        </w:rPr>
      </w:pPr>
      <w:r w:rsidRPr="00364F12">
        <w:rPr>
          <w:rFonts w:ascii="Times New Roman" w:hAnsi="Times New Roman"/>
          <w:b/>
          <w:sz w:val="16"/>
          <w:szCs w:val="16"/>
        </w:rPr>
        <w:t>Романова С.Ю.</w:t>
      </w:r>
    </w:p>
    <w:p w:rsidR="00481758" w:rsidRPr="00667A92" w:rsidRDefault="00481758" w:rsidP="00E54A87">
      <w:pPr>
        <w:jc w:val="right"/>
        <w:rPr>
          <w:rFonts w:ascii="Times New Roman" w:hAnsi="Times New Roman"/>
        </w:rPr>
      </w:pPr>
    </w:p>
    <w:sectPr w:rsidR="00481758" w:rsidRPr="00667A92" w:rsidSect="00B67311">
      <w:footerReference w:type="default" r:id="rId7"/>
      <w:pgSz w:w="11906" w:h="16838"/>
      <w:pgMar w:top="360" w:right="850" w:bottom="54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1758" w:rsidRDefault="00481758">
      <w:r>
        <w:separator/>
      </w:r>
    </w:p>
  </w:endnote>
  <w:endnote w:type="continuationSeparator" w:id="0">
    <w:p w:rsidR="00481758" w:rsidRDefault="004817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758" w:rsidRDefault="00481758" w:rsidP="00733382">
    <w:pPr>
      <w:pStyle w:val="Foote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1758" w:rsidRDefault="00481758">
      <w:r>
        <w:separator/>
      </w:r>
    </w:p>
  </w:footnote>
  <w:footnote w:type="continuationSeparator" w:id="0">
    <w:p w:rsidR="00481758" w:rsidRDefault="004817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0F7C646"/>
    <w:multiLevelType w:val="hybridMultilevel"/>
    <w:tmpl w:val="5BC735A1"/>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96A1771F"/>
    <w:multiLevelType w:val="hybridMultilevel"/>
    <w:tmpl w:val="FDFE10E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99B15CCA"/>
    <w:multiLevelType w:val="hybridMultilevel"/>
    <w:tmpl w:val="58BA5A5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BA4FAA70"/>
    <w:multiLevelType w:val="hybridMultilevel"/>
    <w:tmpl w:val="BF0F78D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BE9C80C4"/>
    <w:multiLevelType w:val="hybridMultilevel"/>
    <w:tmpl w:val="56F8CBA8"/>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DB391703"/>
    <w:multiLevelType w:val="hybridMultilevel"/>
    <w:tmpl w:val="3196539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F3BA9324"/>
    <w:multiLevelType w:val="hybridMultilevel"/>
    <w:tmpl w:val="74796E9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FFFFFF7C"/>
    <w:multiLevelType w:val="singleLevel"/>
    <w:tmpl w:val="097C32AC"/>
    <w:lvl w:ilvl="0">
      <w:start w:val="1"/>
      <w:numFmt w:val="decimal"/>
      <w:lvlText w:val="%1."/>
      <w:lvlJc w:val="left"/>
      <w:pPr>
        <w:tabs>
          <w:tab w:val="num" w:pos="1492"/>
        </w:tabs>
        <w:ind w:left="1492" w:hanging="360"/>
      </w:pPr>
      <w:rPr>
        <w:rFonts w:cs="Times New Roman"/>
      </w:rPr>
    </w:lvl>
  </w:abstractNum>
  <w:abstractNum w:abstractNumId="8">
    <w:nsid w:val="FFFFFF7D"/>
    <w:multiLevelType w:val="singleLevel"/>
    <w:tmpl w:val="8A8A53BC"/>
    <w:lvl w:ilvl="0">
      <w:start w:val="1"/>
      <w:numFmt w:val="decimal"/>
      <w:lvlText w:val="%1."/>
      <w:lvlJc w:val="left"/>
      <w:pPr>
        <w:tabs>
          <w:tab w:val="num" w:pos="1209"/>
        </w:tabs>
        <w:ind w:left="1209" w:hanging="360"/>
      </w:pPr>
      <w:rPr>
        <w:rFonts w:cs="Times New Roman"/>
      </w:rPr>
    </w:lvl>
  </w:abstractNum>
  <w:abstractNum w:abstractNumId="9">
    <w:nsid w:val="FFFFFF7E"/>
    <w:multiLevelType w:val="singleLevel"/>
    <w:tmpl w:val="F528B502"/>
    <w:lvl w:ilvl="0">
      <w:start w:val="1"/>
      <w:numFmt w:val="decimal"/>
      <w:lvlText w:val="%1."/>
      <w:lvlJc w:val="left"/>
      <w:pPr>
        <w:tabs>
          <w:tab w:val="num" w:pos="926"/>
        </w:tabs>
        <w:ind w:left="926" w:hanging="360"/>
      </w:pPr>
      <w:rPr>
        <w:rFonts w:cs="Times New Roman"/>
      </w:rPr>
    </w:lvl>
  </w:abstractNum>
  <w:abstractNum w:abstractNumId="10">
    <w:nsid w:val="FFFFFF7F"/>
    <w:multiLevelType w:val="singleLevel"/>
    <w:tmpl w:val="E4788AEC"/>
    <w:lvl w:ilvl="0">
      <w:start w:val="1"/>
      <w:numFmt w:val="decimal"/>
      <w:lvlText w:val="%1."/>
      <w:lvlJc w:val="left"/>
      <w:pPr>
        <w:tabs>
          <w:tab w:val="num" w:pos="643"/>
        </w:tabs>
        <w:ind w:left="643" w:hanging="360"/>
      </w:pPr>
      <w:rPr>
        <w:rFonts w:cs="Times New Roman"/>
      </w:rPr>
    </w:lvl>
  </w:abstractNum>
  <w:abstractNum w:abstractNumId="11">
    <w:nsid w:val="FFFFFF80"/>
    <w:multiLevelType w:val="singleLevel"/>
    <w:tmpl w:val="1420870E"/>
    <w:lvl w:ilvl="0">
      <w:start w:val="1"/>
      <w:numFmt w:val="bullet"/>
      <w:lvlText w:val=""/>
      <w:lvlJc w:val="left"/>
      <w:pPr>
        <w:tabs>
          <w:tab w:val="num" w:pos="1492"/>
        </w:tabs>
        <w:ind w:left="1492" w:hanging="360"/>
      </w:pPr>
      <w:rPr>
        <w:rFonts w:ascii="Symbol" w:hAnsi="Symbol" w:hint="default"/>
      </w:rPr>
    </w:lvl>
  </w:abstractNum>
  <w:abstractNum w:abstractNumId="12">
    <w:nsid w:val="FFFFFF81"/>
    <w:multiLevelType w:val="singleLevel"/>
    <w:tmpl w:val="786E8A32"/>
    <w:lvl w:ilvl="0">
      <w:start w:val="1"/>
      <w:numFmt w:val="bullet"/>
      <w:lvlText w:val=""/>
      <w:lvlJc w:val="left"/>
      <w:pPr>
        <w:tabs>
          <w:tab w:val="num" w:pos="1209"/>
        </w:tabs>
        <w:ind w:left="1209" w:hanging="360"/>
      </w:pPr>
      <w:rPr>
        <w:rFonts w:ascii="Symbol" w:hAnsi="Symbol" w:hint="default"/>
      </w:rPr>
    </w:lvl>
  </w:abstractNum>
  <w:abstractNum w:abstractNumId="13">
    <w:nsid w:val="FFFFFF82"/>
    <w:multiLevelType w:val="singleLevel"/>
    <w:tmpl w:val="A3AA5E50"/>
    <w:lvl w:ilvl="0">
      <w:start w:val="1"/>
      <w:numFmt w:val="bullet"/>
      <w:lvlText w:val=""/>
      <w:lvlJc w:val="left"/>
      <w:pPr>
        <w:tabs>
          <w:tab w:val="num" w:pos="926"/>
        </w:tabs>
        <w:ind w:left="926" w:hanging="360"/>
      </w:pPr>
      <w:rPr>
        <w:rFonts w:ascii="Symbol" w:hAnsi="Symbol" w:hint="default"/>
      </w:rPr>
    </w:lvl>
  </w:abstractNum>
  <w:abstractNum w:abstractNumId="14">
    <w:nsid w:val="FFFFFF83"/>
    <w:multiLevelType w:val="singleLevel"/>
    <w:tmpl w:val="41E8EE88"/>
    <w:lvl w:ilvl="0">
      <w:start w:val="1"/>
      <w:numFmt w:val="bullet"/>
      <w:lvlText w:val=""/>
      <w:lvlJc w:val="left"/>
      <w:pPr>
        <w:tabs>
          <w:tab w:val="num" w:pos="643"/>
        </w:tabs>
        <w:ind w:left="643" w:hanging="360"/>
      </w:pPr>
      <w:rPr>
        <w:rFonts w:ascii="Symbol" w:hAnsi="Symbol" w:hint="default"/>
      </w:rPr>
    </w:lvl>
  </w:abstractNum>
  <w:abstractNum w:abstractNumId="15">
    <w:nsid w:val="FFFFFF88"/>
    <w:multiLevelType w:val="singleLevel"/>
    <w:tmpl w:val="34980F0E"/>
    <w:lvl w:ilvl="0">
      <w:start w:val="1"/>
      <w:numFmt w:val="decimal"/>
      <w:lvlText w:val="%1."/>
      <w:lvlJc w:val="left"/>
      <w:pPr>
        <w:tabs>
          <w:tab w:val="num" w:pos="360"/>
        </w:tabs>
        <w:ind w:left="360" w:hanging="360"/>
      </w:pPr>
      <w:rPr>
        <w:rFonts w:cs="Times New Roman"/>
      </w:rPr>
    </w:lvl>
  </w:abstractNum>
  <w:abstractNum w:abstractNumId="16">
    <w:nsid w:val="FFFFFF89"/>
    <w:multiLevelType w:val="singleLevel"/>
    <w:tmpl w:val="515A458E"/>
    <w:lvl w:ilvl="0">
      <w:start w:val="1"/>
      <w:numFmt w:val="bullet"/>
      <w:lvlText w:val=""/>
      <w:lvlJc w:val="left"/>
      <w:pPr>
        <w:tabs>
          <w:tab w:val="num" w:pos="360"/>
        </w:tabs>
        <w:ind w:left="360" w:hanging="360"/>
      </w:pPr>
      <w:rPr>
        <w:rFonts w:ascii="Symbol" w:hAnsi="Symbol" w:hint="default"/>
      </w:rPr>
    </w:lvl>
  </w:abstractNum>
  <w:abstractNum w:abstractNumId="17">
    <w:nsid w:val="1EAB49B0"/>
    <w:multiLevelType w:val="hybridMultilevel"/>
    <w:tmpl w:val="45197D6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2EA4072F"/>
    <w:multiLevelType w:val="hybridMultilevel"/>
    <w:tmpl w:val="6DAF78C2"/>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321C4CDE"/>
    <w:multiLevelType w:val="hybridMultilevel"/>
    <w:tmpl w:val="F64AB83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709EC704"/>
    <w:multiLevelType w:val="hybridMultilevel"/>
    <w:tmpl w:val="B0583D2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77B53F1E"/>
    <w:multiLevelType w:val="hybridMultilevel"/>
    <w:tmpl w:val="68283F5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2"/>
  </w:num>
  <w:num w:numId="3">
    <w:abstractNumId w:val="18"/>
  </w:num>
  <w:num w:numId="4">
    <w:abstractNumId w:val="19"/>
  </w:num>
  <w:num w:numId="5">
    <w:abstractNumId w:val="1"/>
  </w:num>
  <w:num w:numId="6">
    <w:abstractNumId w:val="17"/>
  </w:num>
  <w:num w:numId="7">
    <w:abstractNumId w:val="4"/>
  </w:num>
  <w:num w:numId="8">
    <w:abstractNumId w:val="5"/>
  </w:num>
  <w:num w:numId="9">
    <w:abstractNumId w:val="6"/>
  </w:num>
  <w:num w:numId="10">
    <w:abstractNumId w:val="0"/>
  </w:num>
  <w:num w:numId="11">
    <w:abstractNumId w:val="20"/>
  </w:num>
  <w:num w:numId="12">
    <w:abstractNumId w:val="16"/>
  </w:num>
  <w:num w:numId="13">
    <w:abstractNumId w:val="14"/>
  </w:num>
  <w:num w:numId="14">
    <w:abstractNumId w:val="13"/>
  </w:num>
  <w:num w:numId="15">
    <w:abstractNumId w:val="12"/>
  </w:num>
  <w:num w:numId="16">
    <w:abstractNumId w:val="11"/>
  </w:num>
  <w:num w:numId="17">
    <w:abstractNumId w:val="15"/>
  </w:num>
  <w:num w:numId="18">
    <w:abstractNumId w:val="10"/>
  </w:num>
  <w:num w:numId="19">
    <w:abstractNumId w:val="9"/>
  </w:num>
  <w:num w:numId="20">
    <w:abstractNumId w:val="8"/>
  </w:num>
  <w:num w:numId="21">
    <w:abstractNumId w:val="7"/>
  </w:num>
  <w:num w:numId="2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A545E"/>
    <w:rsid w:val="00001C45"/>
    <w:rsid w:val="000577D8"/>
    <w:rsid w:val="00097091"/>
    <w:rsid w:val="001D6014"/>
    <w:rsid w:val="00231722"/>
    <w:rsid w:val="002368AD"/>
    <w:rsid w:val="00251C98"/>
    <w:rsid w:val="002F2DE0"/>
    <w:rsid w:val="00316D2D"/>
    <w:rsid w:val="003568A1"/>
    <w:rsid w:val="00364F12"/>
    <w:rsid w:val="00474562"/>
    <w:rsid w:val="00481758"/>
    <w:rsid w:val="004879BB"/>
    <w:rsid w:val="005056C2"/>
    <w:rsid w:val="0063530B"/>
    <w:rsid w:val="00667A92"/>
    <w:rsid w:val="006B51A6"/>
    <w:rsid w:val="00733382"/>
    <w:rsid w:val="007A545E"/>
    <w:rsid w:val="007D7D37"/>
    <w:rsid w:val="00844B9D"/>
    <w:rsid w:val="00885123"/>
    <w:rsid w:val="00973859"/>
    <w:rsid w:val="00A0357E"/>
    <w:rsid w:val="00A15B91"/>
    <w:rsid w:val="00A66442"/>
    <w:rsid w:val="00AA1C5C"/>
    <w:rsid w:val="00B235DD"/>
    <w:rsid w:val="00B630D8"/>
    <w:rsid w:val="00B67311"/>
    <w:rsid w:val="00B8608C"/>
    <w:rsid w:val="00C72CA6"/>
    <w:rsid w:val="00CA3866"/>
    <w:rsid w:val="00CD3E56"/>
    <w:rsid w:val="00D600B7"/>
    <w:rsid w:val="00D82885"/>
    <w:rsid w:val="00D84048"/>
    <w:rsid w:val="00E1273A"/>
    <w:rsid w:val="00E54A87"/>
    <w:rsid w:val="00E8047B"/>
    <w:rsid w:val="00F87E3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048"/>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7A545E"/>
    <w:pPr>
      <w:autoSpaceDE w:val="0"/>
      <w:autoSpaceDN w:val="0"/>
      <w:adjustRightInd w:val="0"/>
    </w:pPr>
    <w:rPr>
      <w:rFonts w:ascii="Times New Roman" w:hAnsi="Times New Roman"/>
      <w:color w:val="000000"/>
      <w:sz w:val="24"/>
      <w:szCs w:val="24"/>
      <w:lang w:eastAsia="en-US"/>
    </w:rPr>
  </w:style>
  <w:style w:type="paragraph" w:styleId="FootnoteText">
    <w:name w:val="footnote text"/>
    <w:basedOn w:val="Normal"/>
    <w:link w:val="FootnoteTextChar1"/>
    <w:uiPriority w:val="99"/>
    <w:rsid w:val="00E54A87"/>
    <w:pPr>
      <w:autoSpaceDE w:val="0"/>
      <w:autoSpaceDN w:val="0"/>
      <w:spacing w:after="0" w:line="240" w:lineRule="auto"/>
    </w:pPr>
    <w:rPr>
      <w:sz w:val="20"/>
      <w:szCs w:val="20"/>
      <w:lang w:eastAsia="ru-RU"/>
    </w:rPr>
  </w:style>
  <w:style w:type="character" w:customStyle="1" w:styleId="FootnoteTextChar">
    <w:name w:val="Footnote Text Char"/>
    <w:basedOn w:val="DefaultParagraphFont"/>
    <w:link w:val="FootnoteText"/>
    <w:uiPriority w:val="99"/>
    <w:semiHidden/>
    <w:locked/>
    <w:rsid w:val="00251C98"/>
    <w:rPr>
      <w:rFonts w:cs="Times New Roman"/>
      <w:sz w:val="20"/>
      <w:szCs w:val="20"/>
      <w:lang w:eastAsia="en-US"/>
    </w:rPr>
  </w:style>
  <w:style w:type="character" w:customStyle="1" w:styleId="FootnoteTextChar1">
    <w:name w:val="Footnote Text Char1"/>
    <w:link w:val="FootnoteText"/>
    <w:uiPriority w:val="99"/>
    <w:locked/>
    <w:rsid w:val="00E54A87"/>
    <w:rPr>
      <w:lang w:val="ru-RU" w:eastAsia="ru-RU"/>
    </w:rPr>
  </w:style>
  <w:style w:type="character" w:styleId="FootnoteReference">
    <w:name w:val="footnote reference"/>
    <w:basedOn w:val="DefaultParagraphFont"/>
    <w:uiPriority w:val="99"/>
    <w:rsid w:val="00E54A87"/>
    <w:rPr>
      <w:rFonts w:cs="Times New Roman"/>
      <w:vertAlign w:val="superscript"/>
    </w:rPr>
  </w:style>
  <w:style w:type="paragraph" w:styleId="Header">
    <w:name w:val="header"/>
    <w:basedOn w:val="Normal"/>
    <w:link w:val="HeaderChar"/>
    <w:uiPriority w:val="99"/>
    <w:rsid w:val="00733382"/>
    <w:pPr>
      <w:tabs>
        <w:tab w:val="center" w:pos="4677"/>
        <w:tab w:val="right" w:pos="9355"/>
      </w:tabs>
    </w:pPr>
  </w:style>
  <w:style w:type="character" w:customStyle="1" w:styleId="HeaderChar">
    <w:name w:val="Header Char"/>
    <w:basedOn w:val="DefaultParagraphFont"/>
    <w:link w:val="Header"/>
    <w:uiPriority w:val="99"/>
    <w:semiHidden/>
    <w:locked/>
    <w:rsid w:val="00251C98"/>
    <w:rPr>
      <w:rFonts w:cs="Times New Roman"/>
      <w:lang w:eastAsia="en-US"/>
    </w:rPr>
  </w:style>
  <w:style w:type="paragraph" w:styleId="Footer">
    <w:name w:val="footer"/>
    <w:basedOn w:val="Normal"/>
    <w:link w:val="FooterChar"/>
    <w:uiPriority w:val="99"/>
    <w:rsid w:val="00733382"/>
    <w:pPr>
      <w:tabs>
        <w:tab w:val="center" w:pos="4677"/>
        <w:tab w:val="right" w:pos="9355"/>
      </w:tabs>
    </w:pPr>
  </w:style>
  <w:style w:type="character" w:customStyle="1" w:styleId="FooterChar">
    <w:name w:val="Footer Char"/>
    <w:basedOn w:val="DefaultParagraphFont"/>
    <w:link w:val="Footer"/>
    <w:uiPriority w:val="99"/>
    <w:semiHidden/>
    <w:locked/>
    <w:rsid w:val="00251C98"/>
    <w:rPr>
      <w:rFonts w:cs="Times New Roman"/>
      <w:lang w:eastAsia="en-US"/>
    </w:rPr>
  </w:style>
  <w:style w:type="character" w:styleId="PageNumber">
    <w:name w:val="page number"/>
    <w:basedOn w:val="DefaultParagraphFont"/>
    <w:uiPriority w:val="99"/>
    <w:rsid w:val="00733382"/>
    <w:rPr>
      <w:rFonts w:cs="Times New Roman"/>
    </w:rPr>
  </w:style>
  <w:style w:type="paragraph" w:customStyle="1" w:styleId="1">
    <w:name w:val="Знак1 Знак Знак Знак Знак Знак Знак Знак Знак"/>
    <w:basedOn w:val="Normal"/>
    <w:uiPriority w:val="99"/>
    <w:rsid w:val="00733382"/>
    <w:pPr>
      <w:spacing w:before="100" w:beforeAutospacing="1" w:after="100" w:afterAutospacing="1" w:line="240" w:lineRule="auto"/>
    </w:pPr>
    <w:rPr>
      <w:rFonts w:ascii="Tahoma" w:hAnsi="Tahoma"/>
      <w:sz w:val="20"/>
      <w:szCs w:val="20"/>
      <w:lang w:val="en-US"/>
    </w:rPr>
  </w:style>
  <w:style w:type="paragraph" w:styleId="BalloonText">
    <w:name w:val="Balloon Text"/>
    <w:basedOn w:val="Normal"/>
    <w:link w:val="BalloonTextChar"/>
    <w:uiPriority w:val="99"/>
    <w:semiHidden/>
    <w:rsid w:val="0073338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51C98"/>
    <w:rPr>
      <w:rFonts w:ascii="Times New Roman" w:hAnsi="Times New Roman" w:cs="Times New Roman"/>
      <w:sz w:val="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8</Pages>
  <Words>5694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порядке, об условиях и о сроках реализации </dc:title>
  <dc:subject/>
  <dc:creator>Александр</dc:creator>
  <cp:keywords/>
  <dc:description/>
  <cp:lastModifiedBy>123</cp:lastModifiedBy>
  <cp:revision>4</cp:revision>
  <cp:lastPrinted>2018-08-22T10:29:00Z</cp:lastPrinted>
  <dcterms:created xsi:type="dcterms:W3CDTF">2018-07-12T11:53:00Z</dcterms:created>
  <dcterms:modified xsi:type="dcterms:W3CDTF">2018-08-22T11:13:00Z</dcterms:modified>
</cp:coreProperties>
</file>