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201</w:t>
      </w:r>
      <w:r w:rsidR="00C95920">
        <w:rPr>
          <w:szCs w:val="24"/>
        </w:rPr>
        <w:t>8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</w:t>
      </w:r>
      <w:r w:rsidR="00C95920">
        <w:rPr>
          <w:szCs w:val="24"/>
        </w:rPr>
        <w:t xml:space="preserve">реализации </w:t>
      </w:r>
      <w:r w:rsidR="008126CA">
        <w:rPr>
          <w:szCs w:val="24"/>
        </w:rPr>
        <w:t>имущественных прав</w:t>
      </w:r>
      <w:r w:rsidR="00C95920">
        <w:rPr>
          <w:szCs w:val="24"/>
        </w:rPr>
        <w:t xml:space="preserve"> должника –</w:t>
      </w:r>
      <w:r w:rsidR="008126CA">
        <w:rPr>
          <w:szCs w:val="24"/>
        </w:rPr>
        <w:t>Общество с ограниченной ответственностью «ТСМ»</w:t>
      </w:r>
      <w:r w:rsidR="008126CA" w:rsidRPr="008126CA">
        <w:t xml:space="preserve"> </w:t>
      </w:r>
      <w:r w:rsidR="008126CA" w:rsidRPr="008126CA">
        <w:rPr>
          <w:szCs w:val="24"/>
        </w:rPr>
        <w:t>(350020, г. Краснодар, ул. Одесская, д. 10, ИНН 2352044885, ОГРН 1092352000696</w:t>
      </w:r>
      <w:proofErr w:type="gramStart"/>
      <w:r w:rsidR="008126CA" w:rsidRPr="008126CA">
        <w:rPr>
          <w:szCs w:val="24"/>
        </w:rPr>
        <w:t>)</w:t>
      </w:r>
      <w:r w:rsidR="008126CA">
        <w:rPr>
          <w:szCs w:val="24"/>
        </w:rPr>
        <w:t xml:space="preserve"> </w:t>
      </w:r>
      <w:r w:rsidR="00C95920">
        <w:rPr>
          <w:szCs w:val="24"/>
        </w:rPr>
        <w:t>,</w:t>
      </w:r>
      <w:proofErr w:type="gramEnd"/>
      <w:r w:rsidR="00C95920">
        <w:rPr>
          <w:szCs w:val="24"/>
        </w:rPr>
        <w:t xml:space="preserve"> </w:t>
      </w:r>
      <w:r w:rsidR="00130FD7">
        <w:rPr>
          <w:szCs w:val="24"/>
        </w:rPr>
        <w:t>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8126CA">
        <w:rPr>
          <w:szCs w:val="24"/>
        </w:rPr>
        <w:t>5</w:t>
      </w:r>
      <w:r w:rsidR="00C61F84" w:rsidRPr="00D970E9">
        <w:rPr>
          <w:szCs w:val="24"/>
        </w:rPr>
        <w:t xml:space="preserve">% </w:t>
      </w:r>
      <w:r w:rsidR="00FD3A24" w:rsidRPr="00D970E9">
        <w:rPr>
          <w:szCs w:val="24"/>
        </w:rPr>
        <w:t>(</w:t>
      </w:r>
      <w:r w:rsidR="008126CA">
        <w:rPr>
          <w:szCs w:val="24"/>
        </w:rPr>
        <w:t>пяти</w:t>
      </w:r>
      <w:r w:rsidR="00B24650">
        <w:rPr>
          <w:szCs w:val="24"/>
        </w:rPr>
        <w:t>)</w:t>
      </w:r>
      <w:r w:rsidR="00EC61D0" w:rsidRPr="00D970E9">
        <w:rPr>
          <w:szCs w:val="24"/>
        </w:rPr>
        <w:t xml:space="preserve"> </w:t>
      </w:r>
      <w:r w:rsidR="00B24650">
        <w:rPr>
          <w:szCs w:val="24"/>
        </w:rPr>
        <w:t>процентов</w:t>
      </w:r>
      <w:r w:rsidR="00FD3A24" w:rsidRPr="00D970E9">
        <w:rPr>
          <w:szCs w:val="24"/>
        </w:rPr>
        <w:t xml:space="preserve"> </w:t>
      </w:r>
      <w:r w:rsidR="00C61F84" w:rsidRPr="00D970E9">
        <w:rPr>
          <w:szCs w:val="24"/>
        </w:rPr>
        <w:t>от начальной цены</w:t>
      </w:r>
      <w:r w:rsidR="002E4B3A" w:rsidRPr="00D970E9">
        <w:rPr>
          <w:szCs w:val="24"/>
        </w:rPr>
        <w:t xml:space="preserve"> Лота</w:t>
      </w:r>
      <w:r w:rsidR="00C61F84" w:rsidRPr="00D970E9">
        <w:rPr>
          <w:szCs w:val="24"/>
        </w:rPr>
        <w:t>, для участия в торг</w:t>
      </w:r>
      <w:r w:rsidR="008126CA">
        <w:rPr>
          <w:szCs w:val="24"/>
        </w:rPr>
        <w:t>ах по реализации имущественных прав</w:t>
      </w:r>
      <w:r w:rsidR="00C61F84" w:rsidRPr="00D970E9">
        <w:rPr>
          <w:szCs w:val="24"/>
        </w:rPr>
        <w:t xml:space="preserve"> должника </w:t>
      </w:r>
      <w:r w:rsidR="008126CA">
        <w:rPr>
          <w:szCs w:val="24"/>
        </w:rPr>
        <w:t>ООО «ТСМ»</w:t>
      </w:r>
      <w:r w:rsidR="00B24650" w:rsidRPr="00D970E9">
        <w:rPr>
          <w:color w:val="333333"/>
          <w:szCs w:val="24"/>
        </w:rPr>
        <w:t xml:space="preserve"> </w:t>
      </w:r>
      <w:r w:rsidR="00DF2B32" w:rsidRPr="00D970E9">
        <w:rPr>
          <w:color w:val="333333"/>
          <w:szCs w:val="24"/>
        </w:rPr>
        <w:t>(</w:t>
      </w:r>
      <w:r w:rsidR="008126CA">
        <w:rPr>
          <w:color w:val="333333"/>
          <w:szCs w:val="24"/>
        </w:rPr>
        <w:t>350020, г. Краснодар, ул. Одесская, д. 10, ИНН 2352044885, ОГРН 1092352000696)</w:t>
      </w:r>
      <w:r w:rsidR="00C61F84" w:rsidRPr="00D970E9">
        <w:rPr>
          <w:szCs w:val="24"/>
        </w:rPr>
        <w:t xml:space="preserve">, а именно Лота № </w:t>
      </w:r>
      <w:r w:rsidR="000408F4" w:rsidRPr="00D970E9">
        <w:rPr>
          <w:szCs w:val="24"/>
        </w:rPr>
        <w:t>1</w:t>
      </w:r>
      <w:r w:rsidR="00D94C36">
        <w:rPr>
          <w:szCs w:val="24"/>
        </w:rPr>
        <w:t xml:space="preserve"> </w:t>
      </w:r>
      <w:r w:rsidR="008126CA">
        <w:rPr>
          <w:szCs w:val="24"/>
        </w:rPr>
        <w:t>Право требования с АО «</w:t>
      </w:r>
      <w:proofErr w:type="spellStart"/>
      <w:r w:rsidR="008126CA">
        <w:rPr>
          <w:szCs w:val="24"/>
        </w:rPr>
        <w:t>Спецавтохозяйство</w:t>
      </w:r>
      <w:proofErr w:type="spellEnd"/>
      <w:r w:rsidR="008126CA">
        <w:rPr>
          <w:szCs w:val="24"/>
        </w:rPr>
        <w:t xml:space="preserve"> по уборке города» (ОГН 1112366001593, ИНН 2320189736) 384 328 607,76 рублей долга по договору на оказание услуг по утилизации твердых бытовых отходов №1 от 01.01.2015г.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 xml:space="preserve">Получатель: ООО «ИКГ», ИНН: 3811105176, </w:t>
      </w:r>
      <w:r w:rsidR="008126CA">
        <w:t xml:space="preserve">КПП 381101001, </w:t>
      </w:r>
      <w:r w:rsidR="00C72F2F" w:rsidRPr="00A042C5">
        <w:t>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E90020" w:rsidRDefault="00434CC5" w:rsidP="00E90020">
      <w:pPr>
        <w:pStyle w:val="a5"/>
        <w:numPr>
          <w:ilvl w:val="1"/>
          <w:numId w:val="2"/>
        </w:numPr>
        <w:jc w:val="both"/>
      </w:pPr>
      <w:r w:rsidRPr="00EE677A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EE677A">
        <w:rPr>
          <w:rStyle w:val="paragraph"/>
          <w:rFonts w:eastAsiaTheme="majorEastAsia"/>
          <w:szCs w:val="24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EE677A">
        <w:rPr>
          <w:rStyle w:val="paragraph"/>
          <w:rFonts w:eastAsiaTheme="majorEastAsia"/>
          <w:szCs w:val="24"/>
        </w:rPr>
        <w:t>торгов</w:t>
      </w:r>
      <w:r w:rsidR="00EE677A">
        <w:t>.</w:t>
      </w:r>
    </w:p>
    <w:p w:rsidR="00EE677A" w:rsidRPr="00434CC5" w:rsidRDefault="00EE677A" w:rsidP="00EE677A">
      <w:pPr>
        <w:pStyle w:val="a5"/>
        <w:jc w:val="both"/>
      </w:pPr>
      <w:bookmarkStart w:id="0" w:name="_GoBack"/>
      <w:bookmarkEnd w:id="0"/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445C88" w:rsidRDefault="00445C88" w:rsidP="00445C88">
      <w:pPr>
        <w:pStyle w:val="a5"/>
        <w:numPr>
          <w:ilvl w:val="1"/>
          <w:numId w:val="2"/>
        </w:numPr>
        <w:jc w:val="both"/>
      </w:pPr>
      <w:r>
        <w:t xml:space="preserve">Задаток вносится не позднее даты, указанной в сообщении о проведении торгов, в противном случае Заявитель не допускается к участию в торгах на основании пункта 12 статьи 110 «О несостоятельности (банкротстве)». </w:t>
      </w:r>
    </w:p>
    <w:p w:rsidR="00445C88" w:rsidRDefault="00445C88" w:rsidP="00445C88">
      <w:pPr>
        <w:pStyle w:val="a5"/>
        <w:numPr>
          <w:ilvl w:val="1"/>
          <w:numId w:val="2"/>
        </w:numPr>
        <w:jc w:val="both"/>
      </w:pPr>
      <w:r w:rsidRPr="00445C88">
        <w:t>Задаток считается поступившим с момента поступления денежных средств на указанный расчетный счет.</w:t>
      </w:r>
    </w:p>
    <w:p w:rsidR="00445C88" w:rsidRDefault="00445C88" w:rsidP="00445C88">
      <w:pPr>
        <w:pStyle w:val="a5"/>
        <w:numPr>
          <w:ilvl w:val="1"/>
          <w:numId w:val="2"/>
        </w:numPr>
        <w:jc w:val="both"/>
      </w:pPr>
      <w:r>
        <w:t xml:space="preserve">Оператор электронной площадки не вправе распоряжаться денежными средствами, поступившими на его счет в качестве задатка, за исключением случаев: </w:t>
      </w:r>
    </w:p>
    <w:p w:rsidR="00445C88" w:rsidRDefault="00445C88" w:rsidP="00445C88">
      <w:pPr>
        <w:pStyle w:val="a5"/>
        <w:jc w:val="both"/>
      </w:pPr>
      <w:r>
        <w:t xml:space="preserve">- </w:t>
      </w:r>
      <w:r>
        <w:t xml:space="preserve">возврата задатков Заявителям, не являющимся победителями торгов, </w:t>
      </w:r>
    </w:p>
    <w:p w:rsidR="00445C88" w:rsidRDefault="00445C88" w:rsidP="00445C88">
      <w:pPr>
        <w:pStyle w:val="a5"/>
        <w:jc w:val="both"/>
      </w:pPr>
      <w:r>
        <w:t xml:space="preserve">- </w:t>
      </w:r>
      <w:r>
        <w:t xml:space="preserve">возврата задатков Заявителям, отозвавшим свои заявки до истечения срока окончания приема заявок на торгах, </w:t>
      </w:r>
    </w:p>
    <w:p w:rsidR="00445C88" w:rsidRDefault="00445C88" w:rsidP="00445C88">
      <w:pPr>
        <w:pStyle w:val="a5"/>
        <w:jc w:val="both"/>
      </w:pPr>
      <w:r>
        <w:t>-</w:t>
      </w:r>
      <w:r>
        <w:t xml:space="preserve"> перевода задатков, полученных от Заявителя, признанного победителем торгов, на расчетный счет Должника в счет оплаты приобретаемого на торгах имущества при заключении Заявителем договора купли-продажи с Организатором торгов;</w:t>
      </w:r>
    </w:p>
    <w:p w:rsidR="00445C88" w:rsidRDefault="00445C88" w:rsidP="00445C88">
      <w:pPr>
        <w:pStyle w:val="a5"/>
        <w:jc w:val="both"/>
      </w:pPr>
      <w:r>
        <w:t>- в иных, предусмотренных действующим законодательством, случаях.</w:t>
      </w:r>
    </w:p>
    <w:p w:rsidR="00445C88" w:rsidRDefault="00445C88" w:rsidP="00445C88">
      <w:pPr>
        <w:pStyle w:val="a5"/>
        <w:numPr>
          <w:ilvl w:val="1"/>
          <w:numId w:val="2"/>
        </w:numPr>
        <w:jc w:val="both"/>
      </w:pPr>
      <w:r>
        <w:t xml:space="preserve"> На денежные средства, перечисленные в соответствии с настоящим договором, проценты не начисляются.</w:t>
      </w:r>
    </w:p>
    <w:p w:rsidR="00EE677A" w:rsidRPr="00EE677A" w:rsidRDefault="005E432D" w:rsidP="00EE677A">
      <w:pPr>
        <w:pStyle w:val="a5"/>
        <w:numPr>
          <w:ilvl w:val="1"/>
          <w:numId w:val="2"/>
        </w:numPr>
      </w:pPr>
      <w:r>
        <w:t xml:space="preserve">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</w:t>
      </w:r>
      <w:r w:rsidR="00EE677A">
        <w:t xml:space="preserve">одажи, </w:t>
      </w:r>
      <w:r w:rsidR="00EE677A" w:rsidRPr="00EE677A">
        <w:t xml:space="preserve">после получения </w:t>
      </w:r>
      <w:r w:rsidR="00EE677A" w:rsidRPr="00EE677A">
        <w:lastRenderedPageBreak/>
        <w:t>суммы указанного задатка от Оператора электронной площадки на расчетный счет Должника, указанный в сообщении о торгах.</w:t>
      </w:r>
    </w:p>
    <w:p w:rsidR="005E432D" w:rsidRDefault="005E432D" w:rsidP="00EE677A">
      <w:pPr>
        <w:pStyle w:val="a5"/>
        <w:jc w:val="both"/>
      </w:pP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lastRenderedPageBreak/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B118C"/>
    <w:rsid w:val="003B7E35"/>
    <w:rsid w:val="003D49FD"/>
    <w:rsid w:val="003E5564"/>
    <w:rsid w:val="003E7D73"/>
    <w:rsid w:val="00422011"/>
    <w:rsid w:val="00434CC5"/>
    <w:rsid w:val="00445C88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26CA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D0279A"/>
    <w:rsid w:val="00D1156E"/>
    <w:rsid w:val="00D80994"/>
    <w:rsid w:val="00D94C36"/>
    <w:rsid w:val="00D970E9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EE677A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 А. Дейнега</cp:lastModifiedBy>
  <cp:revision>3</cp:revision>
  <cp:lastPrinted>2018-10-02T12:52:00Z</cp:lastPrinted>
  <dcterms:created xsi:type="dcterms:W3CDTF">2018-10-02T11:46:00Z</dcterms:created>
  <dcterms:modified xsi:type="dcterms:W3CDTF">2018-10-02T12:52:00Z</dcterms:modified>
</cp:coreProperties>
</file>